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33F2D" w14:textId="2C1A51B3" w:rsidR="00EA5062" w:rsidRDefault="002B3857" w:rsidP="00CA516F">
      <w:pPr>
        <w:pStyle w:val="NonHeading1"/>
      </w:pPr>
      <w:r>
        <w:t xml:space="preserve">Annex 8: </w:t>
      </w:r>
      <w:r w:rsidR="00EA5062" w:rsidRPr="00EA5062">
        <w:t>Technical brief – refugees</w:t>
      </w:r>
    </w:p>
    <w:p w14:paraId="3E91DEA2" w14:textId="3649B0AE" w:rsidR="00284A06" w:rsidRDefault="003F42B2">
      <w:r>
        <w:t>T</w:t>
      </w:r>
      <w:r w:rsidR="004F4AB4" w:rsidRPr="003F42B2">
        <w:t xml:space="preserve">his technical brief </w:t>
      </w:r>
      <w:r w:rsidR="00394DE3" w:rsidRPr="003F42B2">
        <w:t xml:space="preserve">is intended to </w:t>
      </w:r>
      <w:r w:rsidR="00A26EA5" w:rsidRPr="003F42B2">
        <w:t xml:space="preserve">provide justification for decisions </w:t>
      </w:r>
      <w:r w:rsidR="00CE512D" w:rsidRPr="003F42B2">
        <w:t xml:space="preserve">made regarding geographical scope of a new phase of the Northern Uganda </w:t>
      </w:r>
      <w:r w:rsidR="004606FB" w:rsidRPr="003F42B2">
        <w:t>Resilience Initiative (NURI) under the USF 2023-2027</w:t>
      </w:r>
      <w:r w:rsidR="003956BB">
        <w:t xml:space="preserve">, </w:t>
      </w:r>
      <w:r w:rsidR="004606FB" w:rsidRPr="003F42B2">
        <w:t>choice of target group</w:t>
      </w:r>
      <w:r w:rsidR="003956BB">
        <w:t xml:space="preserve"> and focus sectors</w:t>
      </w:r>
      <w:r w:rsidR="004606FB" w:rsidRPr="003F42B2">
        <w:t xml:space="preserve">. </w:t>
      </w:r>
      <w:r w:rsidR="00BC27EE">
        <w:t>I</w:t>
      </w:r>
      <w:r w:rsidR="004606FB" w:rsidRPr="003F42B2">
        <w:t>t will link decisions of the Royal Danish Embassy in Uganda</w:t>
      </w:r>
      <w:r w:rsidR="007E3814" w:rsidRPr="003F42B2">
        <w:t xml:space="preserve"> to the policies and priorities of the Government of Uganda. Finally, </w:t>
      </w:r>
      <w:r w:rsidR="009E14A4" w:rsidRPr="003F42B2">
        <w:t xml:space="preserve">decisions regarding programme design in line with </w:t>
      </w:r>
      <w:r w:rsidR="00C72ECF">
        <w:t xml:space="preserve">the </w:t>
      </w:r>
      <w:r w:rsidRPr="003F42B2">
        <w:t>strategic objectives of the Uganda Strateg</w:t>
      </w:r>
      <w:r>
        <w:t>ic</w:t>
      </w:r>
      <w:r w:rsidRPr="003F42B2">
        <w:t xml:space="preserve"> Framework 2023-2027</w:t>
      </w:r>
      <w:r w:rsidR="009E14A4" w:rsidRPr="003F42B2">
        <w:t xml:space="preserve"> will be </w:t>
      </w:r>
      <w:r w:rsidR="009E48BB" w:rsidRPr="003F42B2">
        <w:t>justified.</w:t>
      </w:r>
      <w:r w:rsidR="009E48BB">
        <w:t xml:space="preserve"> </w:t>
      </w:r>
    </w:p>
    <w:p w14:paraId="5A73E3A3" w14:textId="33DF63CC" w:rsidR="00527032" w:rsidRDefault="001A3283" w:rsidP="00141673">
      <w:pPr>
        <w:pStyle w:val="Heading2"/>
      </w:pPr>
      <w:r>
        <w:t>Long-term development engagement in refugee settings</w:t>
      </w:r>
    </w:p>
    <w:p w14:paraId="6742D7D5" w14:textId="15578AC8" w:rsidR="00A623E0" w:rsidRPr="00DD63DE" w:rsidRDefault="004137E8" w:rsidP="00DD63DE">
      <w:hyperlink r:id="rId8" w:tooltip="Uganda" w:history="1">
        <w:r w:rsidR="00A623E0" w:rsidRPr="00DD63DE">
          <w:rPr>
            <w:rStyle w:val="Hyperlink"/>
            <w:color w:val="auto"/>
            <w:u w:val="none"/>
          </w:rPr>
          <w:t>Uganda</w:t>
        </w:r>
      </w:hyperlink>
      <w:r w:rsidR="00A623E0" w:rsidRPr="00DD63DE">
        <w:t xml:space="preserve"> is one of the largest refugee-hosting nations in the world</w:t>
      </w:r>
      <w:hyperlink r:id="rId9" w:anchor="cite_note-2" w:history="1"/>
      <w:r w:rsidR="00A623E0" w:rsidRPr="00DD63DE">
        <w:t xml:space="preserve">. The vast influx of refugees is due to several factors in Uganda's neighbouring countries, especially war and violence in </w:t>
      </w:r>
      <w:hyperlink r:id="rId10" w:tooltip="South Sudan" w:history="1">
        <w:r w:rsidR="00A623E0" w:rsidRPr="00DD63DE">
          <w:rPr>
            <w:rStyle w:val="Hyperlink"/>
            <w:color w:val="auto"/>
            <w:u w:val="none"/>
          </w:rPr>
          <w:t>South Sudan</w:t>
        </w:r>
      </w:hyperlink>
      <w:r w:rsidR="00A623E0" w:rsidRPr="00DD63DE">
        <w:t xml:space="preserve"> and the </w:t>
      </w:r>
      <w:hyperlink r:id="rId11" w:history="1">
        <w:r w:rsidR="00A623E0" w:rsidRPr="00DD63DE">
          <w:rPr>
            <w:rStyle w:val="Hyperlink"/>
            <w:color w:val="auto"/>
            <w:u w:val="none"/>
          </w:rPr>
          <w:t>Democratic Republic of the Congo</w:t>
        </w:r>
      </w:hyperlink>
      <w:r w:rsidR="00A623E0" w:rsidRPr="00DD63DE">
        <w:t>, and associated economic crisis and political instability in the region.</w:t>
      </w:r>
    </w:p>
    <w:p w14:paraId="41EE027C" w14:textId="65DC27B4" w:rsidR="00A025D4" w:rsidRDefault="004762A3" w:rsidP="00DD63DE">
      <w:r w:rsidRPr="00DD63DE">
        <w:rPr>
          <w:szCs w:val="24"/>
        </w:rPr>
        <w:t>Uganda has continued to experience an influx of refugees especially from the Democratic Republic of Congo and from South Sudan. At present, there are approximately 1</w:t>
      </w:r>
      <w:r w:rsidR="007769B2">
        <w:rPr>
          <w:szCs w:val="24"/>
        </w:rPr>
        <w:t>,5 million</w:t>
      </w:r>
      <w:r w:rsidRPr="00DD63DE">
        <w:rPr>
          <w:szCs w:val="24"/>
        </w:rPr>
        <w:t xml:space="preserve"> refugees in Uganda,</w:t>
      </w:r>
      <w:r w:rsidR="00B74C1F" w:rsidRPr="00DD63DE">
        <w:rPr>
          <w:rStyle w:val="FootnoteReference"/>
          <w:szCs w:val="24"/>
        </w:rPr>
        <w:footnoteReference w:id="1"/>
      </w:r>
      <w:r w:rsidRPr="00DD63DE">
        <w:rPr>
          <w:szCs w:val="24"/>
        </w:rPr>
        <w:t xml:space="preserve"> a sharp increase from approximately 430,000 in 2016. </w:t>
      </w:r>
      <w:r w:rsidR="00D56384" w:rsidRPr="00DD63DE">
        <w:t>Currently, there are 30 settlements spread out in 12 districts, including Kampala.</w:t>
      </w:r>
      <w:r w:rsidR="00DC78AA" w:rsidRPr="00DD63DE">
        <w:rPr>
          <w:rStyle w:val="FootnoteReference"/>
          <w:rFonts w:ascii="Lato-Regular" w:hAnsi="Lato-Regular" w:cs="Lato-Regular"/>
          <w:sz w:val="20"/>
          <w:szCs w:val="20"/>
        </w:rPr>
        <w:footnoteReference w:id="2"/>
      </w:r>
      <w:r w:rsidR="00D56384" w:rsidRPr="00DD63DE">
        <w:rPr>
          <w:sz w:val="12"/>
          <w:szCs w:val="12"/>
        </w:rPr>
        <w:t xml:space="preserve"> </w:t>
      </w:r>
      <w:r w:rsidR="00D56384" w:rsidRPr="00DD63DE">
        <w:t xml:space="preserve">Some of the refugee hosting districts </w:t>
      </w:r>
      <w:r w:rsidR="007845C2">
        <w:t xml:space="preserve">(RHDs) </w:t>
      </w:r>
      <w:r w:rsidR="00D56384" w:rsidRPr="00DD63DE">
        <w:t>are among the most vulnerable districts in Uganda.</w:t>
      </w:r>
      <w:r w:rsidR="00D56384" w:rsidRPr="00DD63DE">
        <w:rPr>
          <w:szCs w:val="24"/>
        </w:rPr>
        <w:t xml:space="preserve"> </w:t>
      </w:r>
      <w:r w:rsidR="00DD63DE" w:rsidRPr="00DD63DE">
        <w:t>Despite the</w:t>
      </w:r>
      <w:r w:rsidR="00DD63DE">
        <w:t xml:space="preserve"> </w:t>
      </w:r>
      <w:r w:rsidR="00DD63DE" w:rsidRPr="00DD63DE">
        <w:t>scale of the concurrent emergencies, Uganda has been able to keep its borders open and maintain its village style settlements in a non-camp setting, where refugees live within host communities</w:t>
      </w:r>
      <w:r w:rsidR="00A025D4">
        <w:t xml:space="preserve">. This due to the progressive refugee policy of the Government of Uganda based on the Comprehensive Refugee Response Framework (CRRF). </w:t>
      </w:r>
    </w:p>
    <w:p w14:paraId="1D1DE4AE" w14:textId="49EC1ED3" w:rsidR="004762A3" w:rsidRDefault="00EA01A9" w:rsidP="00DD63DE">
      <w:pPr>
        <w:rPr>
          <w:szCs w:val="24"/>
        </w:rPr>
      </w:pPr>
      <w:r>
        <w:rPr>
          <w:szCs w:val="24"/>
        </w:rPr>
        <w:t>The high influx of refugees since 2016</w:t>
      </w:r>
      <w:r w:rsidR="004762A3" w:rsidRPr="00DD63DE">
        <w:rPr>
          <w:szCs w:val="24"/>
        </w:rPr>
        <w:t xml:space="preserve"> has placed environmental pressure on the limited and fragmented land, and eroded productivity, while at the same time there are missed opportunities for refugees to acquire skills and resources needed for sustainable livelihoods in Uganda and when they return. </w:t>
      </w:r>
    </w:p>
    <w:p w14:paraId="5087382F" w14:textId="02B04872" w:rsidR="007A1BF1" w:rsidRDefault="00694FFA" w:rsidP="007A1BF1">
      <w:pPr>
        <w:adjustRightInd w:val="0"/>
        <w:spacing w:after="0" w:line="240" w:lineRule="auto"/>
        <w:rPr>
          <w:szCs w:val="24"/>
        </w:rPr>
      </w:pPr>
      <w:r>
        <w:rPr>
          <w:szCs w:val="24"/>
        </w:rPr>
        <w:t>Uganda’s legal framework (</w:t>
      </w:r>
      <w:r w:rsidR="000C6F03">
        <w:rPr>
          <w:szCs w:val="24"/>
        </w:rPr>
        <w:t>Refugee</w:t>
      </w:r>
      <w:r>
        <w:rPr>
          <w:szCs w:val="24"/>
        </w:rPr>
        <w:t xml:space="preserve"> Act 2006 and 2010 Refugee Regulations) grants access to refugees to key rights and social services</w:t>
      </w:r>
      <w:r w:rsidR="002F4C9F">
        <w:rPr>
          <w:szCs w:val="24"/>
        </w:rPr>
        <w:t xml:space="preserve"> including freedom of movement, the right to work, and access to national health and education services. Refugee</w:t>
      </w:r>
      <w:r w:rsidR="00A025D4">
        <w:rPr>
          <w:szCs w:val="24"/>
        </w:rPr>
        <w:t xml:space="preserve"> response is </w:t>
      </w:r>
      <w:r w:rsidR="002F4C9F">
        <w:rPr>
          <w:szCs w:val="24"/>
        </w:rPr>
        <w:t>also included in national development planning</w:t>
      </w:r>
      <w:r w:rsidR="00A025D4">
        <w:rPr>
          <w:szCs w:val="24"/>
        </w:rPr>
        <w:t xml:space="preserve"> (NDP) as well as </w:t>
      </w:r>
      <w:r w:rsidR="00B02D24">
        <w:rPr>
          <w:szCs w:val="24"/>
        </w:rPr>
        <w:t xml:space="preserve">most </w:t>
      </w:r>
      <w:r w:rsidR="00A025D4">
        <w:rPr>
          <w:szCs w:val="24"/>
        </w:rPr>
        <w:t>sector response plans (SRP)</w:t>
      </w:r>
      <w:r w:rsidR="00DE772F">
        <w:rPr>
          <w:szCs w:val="24"/>
        </w:rPr>
        <w:t>. The Comprehensive Refugee Response Framework (CRRF)</w:t>
      </w:r>
      <w:r w:rsidR="006B080F">
        <w:rPr>
          <w:szCs w:val="24"/>
        </w:rPr>
        <w:t xml:space="preserve"> and the Settlement Tran</w:t>
      </w:r>
      <w:r w:rsidR="00D07935">
        <w:rPr>
          <w:szCs w:val="24"/>
        </w:rPr>
        <w:t xml:space="preserve">sformation Agenda (STA) </w:t>
      </w:r>
      <w:r w:rsidR="002A1E33">
        <w:rPr>
          <w:szCs w:val="24"/>
        </w:rPr>
        <w:t>ha</w:t>
      </w:r>
      <w:r w:rsidR="00D07935">
        <w:rPr>
          <w:szCs w:val="24"/>
        </w:rPr>
        <w:t>ve</w:t>
      </w:r>
      <w:r w:rsidR="002A1E33">
        <w:rPr>
          <w:szCs w:val="24"/>
        </w:rPr>
        <w:t xml:space="preserve"> paved the road for </w:t>
      </w:r>
      <w:r w:rsidR="002A1E33" w:rsidRPr="000A74A0">
        <w:t>addressing the needs of refugee and host communities</w:t>
      </w:r>
      <w:r w:rsidR="001D21A9" w:rsidRPr="000A74A0">
        <w:t xml:space="preserve"> with an increased focus on the humanitarian-development-peace (HDP) nexus</w:t>
      </w:r>
      <w:r w:rsidR="00021E9C" w:rsidRPr="000A74A0">
        <w:t xml:space="preserve">. </w:t>
      </w:r>
      <w:r w:rsidR="000A74A0" w:rsidRPr="000A74A0">
        <w:t>Invested focus on the practical application of the CRRF allows space for both the humanitarian coordination on life saving assistance while engaging line ministries and other key stakeholders in a longer-term perspective on key sectoral challenges underpinning the settlement model. The challenge before all stakeholders is to deliver longer</w:t>
      </w:r>
      <w:r w:rsidR="00636B36">
        <w:t>-</w:t>
      </w:r>
      <w:r w:rsidR="000A74A0" w:rsidRPr="000A74A0">
        <w:t>term development outcomes for Ugandan refugee hosting districts as well as refugees</w:t>
      </w:r>
      <w:r w:rsidR="007E594D">
        <w:t xml:space="preserve">. </w:t>
      </w:r>
    </w:p>
    <w:p w14:paraId="3B46345F" w14:textId="77777777" w:rsidR="007A1BF1" w:rsidRDefault="007A1BF1" w:rsidP="007A1BF1">
      <w:pPr>
        <w:adjustRightInd w:val="0"/>
        <w:spacing w:after="0" w:line="240" w:lineRule="auto"/>
        <w:rPr>
          <w:szCs w:val="24"/>
        </w:rPr>
      </w:pPr>
    </w:p>
    <w:p w14:paraId="4586F005" w14:textId="0CB19E99" w:rsidR="0086384D" w:rsidRDefault="00FF0E91" w:rsidP="007A1BF1">
      <w:pPr>
        <w:adjustRightInd w:val="0"/>
        <w:spacing w:after="0" w:line="240" w:lineRule="auto"/>
        <w:rPr>
          <w:szCs w:val="24"/>
        </w:rPr>
      </w:pPr>
      <w:r w:rsidRPr="00154670">
        <w:rPr>
          <w:bCs/>
          <w:color w:val="auto"/>
          <w:szCs w:val="24"/>
        </w:rPr>
        <w:t>The Settlement Transformation Agenda (STA)</w:t>
      </w:r>
      <w:r w:rsidRPr="00154670">
        <w:rPr>
          <w:color w:val="auto"/>
          <w:szCs w:val="24"/>
        </w:rPr>
        <w:t xml:space="preserve"> strategy seeks to explore opportunities that benefit both refugees and the communities that host them, by bridging the gap between humanitarian and development interventions. STA represents a key building block of a comprehensive response to displacement in Uganda and a critical component in the application of the Comprehensive Refugee Response Framework</w:t>
      </w:r>
      <w:r>
        <w:rPr>
          <w:color w:val="auto"/>
          <w:szCs w:val="24"/>
        </w:rPr>
        <w:t>.</w:t>
      </w:r>
      <w:r w:rsidR="0004346B">
        <w:rPr>
          <w:color w:val="auto"/>
          <w:szCs w:val="24"/>
        </w:rPr>
        <w:t xml:space="preserve"> </w:t>
      </w:r>
      <w:r w:rsidR="00171717">
        <w:rPr>
          <w:szCs w:val="24"/>
        </w:rPr>
        <w:t xml:space="preserve">The </w:t>
      </w:r>
      <w:r w:rsidR="007A1BF1">
        <w:rPr>
          <w:szCs w:val="24"/>
        </w:rPr>
        <w:t>Settlement Transformati</w:t>
      </w:r>
      <w:r w:rsidR="0004346B">
        <w:rPr>
          <w:szCs w:val="24"/>
        </w:rPr>
        <w:t>on</w:t>
      </w:r>
      <w:r w:rsidR="007A1BF1">
        <w:rPr>
          <w:szCs w:val="24"/>
        </w:rPr>
        <w:t xml:space="preserve"> Agenda</w:t>
      </w:r>
      <w:r w:rsidR="00171717">
        <w:rPr>
          <w:szCs w:val="24"/>
        </w:rPr>
        <w:t xml:space="preserve"> </w:t>
      </w:r>
      <w:r w:rsidR="00BF69EA">
        <w:rPr>
          <w:szCs w:val="24"/>
        </w:rPr>
        <w:t>is</w:t>
      </w:r>
      <w:r w:rsidR="00A04527">
        <w:rPr>
          <w:szCs w:val="24"/>
        </w:rPr>
        <w:t xml:space="preserve"> based on six pillars of:</w:t>
      </w:r>
      <w:r w:rsidR="005C0687">
        <w:rPr>
          <w:rStyle w:val="FootnoteReference"/>
          <w:szCs w:val="24"/>
        </w:rPr>
        <w:footnoteReference w:id="3"/>
      </w:r>
      <w:r w:rsidR="0004346B">
        <w:rPr>
          <w:szCs w:val="24"/>
        </w:rPr>
        <w:t xml:space="preserve"> </w:t>
      </w:r>
    </w:p>
    <w:p w14:paraId="3DDEC6A7" w14:textId="77777777" w:rsidR="0004346B" w:rsidRDefault="0004346B" w:rsidP="007A1BF1">
      <w:pPr>
        <w:adjustRightInd w:val="0"/>
        <w:spacing w:after="0" w:line="240" w:lineRule="auto"/>
        <w:rPr>
          <w:szCs w:val="24"/>
        </w:rPr>
      </w:pPr>
    </w:p>
    <w:p w14:paraId="13DF731F" w14:textId="44B775FB" w:rsidR="0086384D" w:rsidRDefault="00E50E99" w:rsidP="00EC2FBA">
      <w:pPr>
        <w:ind w:left="720"/>
        <w:rPr>
          <w:szCs w:val="24"/>
        </w:rPr>
      </w:pPr>
      <w:r>
        <w:rPr>
          <w:szCs w:val="24"/>
        </w:rPr>
        <w:lastRenderedPageBreak/>
        <w:t xml:space="preserve">Pillar </w:t>
      </w:r>
      <w:r w:rsidR="00A04527">
        <w:rPr>
          <w:szCs w:val="24"/>
        </w:rPr>
        <w:t>1</w:t>
      </w:r>
      <w:r>
        <w:rPr>
          <w:szCs w:val="24"/>
        </w:rPr>
        <w:t>:</w:t>
      </w:r>
      <w:r w:rsidR="005E1557">
        <w:rPr>
          <w:szCs w:val="24"/>
        </w:rPr>
        <w:t xml:space="preserve"> Land management </w:t>
      </w:r>
    </w:p>
    <w:p w14:paraId="1A6C2307" w14:textId="01A9C5F3" w:rsidR="0086384D" w:rsidRDefault="00E50E99" w:rsidP="00EC2FBA">
      <w:pPr>
        <w:ind w:left="720"/>
        <w:rPr>
          <w:szCs w:val="24"/>
        </w:rPr>
      </w:pPr>
      <w:r>
        <w:rPr>
          <w:szCs w:val="24"/>
        </w:rPr>
        <w:t xml:space="preserve">Pillar </w:t>
      </w:r>
      <w:r w:rsidR="005E1557">
        <w:rPr>
          <w:szCs w:val="24"/>
        </w:rPr>
        <w:t>2</w:t>
      </w:r>
      <w:r>
        <w:rPr>
          <w:szCs w:val="24"/>
        </w:rPr>
        <w:t>:</w:t>
      </w:r>
      <w:r w:rsidR="005E1557">
        <w:rPr>
          <w:szCs w:val="24"/>
        </w:rPr>
        <w:t xml:space="preserve"> Sustainable livelihood </w:t>
      </w:r>
    </w:p>
    <w:p w14:paraId="3B9729C5" w14:textId="67D7DF18" w:rsidR="00E50E99" w:rsidRDefault="00E50E99" w:rsidP="00EC2FBA">
      <w:pPr>
        <w:ind w:left="720"/>
        <w:rPr>
          <w:szCs w:val="24"/>
        </w:rPr>
      </w:pPr>
      <w:r>
        <w:rPr>
          <w:szCs w:val="24"/>
        </w:rPr>
        <w:t xml:space="preserve">Pillar </w:t>
      </w:r>
      <w:r w:rsidR="005E1557">
        <w:rPr>
          <w:szCs w:val="24"/>
        </w:rPr>
        <w:t>3</w:t>
      </w:r>
      <w:r>
        <w:rPr>
          <w:szCs w:val="24"/>
        </w:rPr>
        <w:t>:</w:t>
      </w:r>
      <w:r w:rsidR="005E1557">
        <w:rPr>
          <w:szCs w:val="24"/>
        </w:rPr>
        <w:t xml:space="preserve"> </w:t>
      </w:r>
      <w:r w:rsidR="00BC16BA">
        <w:rPr>
          <w:szCs w:val="24"/>
        </w:rPr>
        <w:t>Governance and rule of law</w:t>
      </w:r>
    </w:p>
    <w:p w14:paraId="60E5AE04" w14:textId="2ABB5A07" w:rsidR="00E50E99" w:rsidRDefault="00E50E99" w:rsidP="00EC2FBA">
      <w:pPr>
        <w:ind w:left="720"/>
        <w:rPr>
          <w:szCs w:val="24"/>
        </w:rPr>
      </w:pPr>
      <w:r>
        <w:rPr>
          <w:szCs w:val="24"/>
        </w:rPr>
        <w:t xml:space="preserve">Pillar </w:t>
      </w:r>
      <w:r w:rsidR="00BC16BA">
        <w:rPr>
          <w:szCs w:val="24"/>
        </w:rPr>
        <w:t>4</w:t>
      </w:r>
      <w:r>
        <w:rPr>
          <w:szCs w:val="24"/>
        </w:rPr>
        <w:t>:</w:t>
      </w:r>
      <w:r w:rsidR="00BC16BA">
        <w:rPr>
          <w:szCs w:val="24"/>
        </w:rPr>
        <w:t xml:space="preserve"> Peaceful co-existence</w:t>
      </w:r>
    </w:p>
    <w:p w14:paraId="364D3587" w14:textId="010639BD" w:rsidR="00E50E99" w:rsidRDefault="00E50E99" w:rsidP="00EC2FBA">
      <w:pPr>
        <w:ind w:left="720"/>
        <w:rPr>
          <w:szCs w:val="24"/>
        </w:rPr>
      </w:pPr>
      <w:r>
        <w:rPr>
          <w:szCs w:val="24"/>
        </w:rPr>
        <w:t xml:space="preserve">Pillar </w:t>
      </w:r>
      <w:r w:rsidR="00BC16BA">
        <w:rPr>
          <w:szCs w:val="24"/>
        </w:rPr>
        <w:t>5</w:t>
      </w:r>
      <w:r>
        <w:rPr>
          <w:szCs w:val="24"/>
        </w:rPr>
        <w:t>:</w:t>
      </w:r>
      <w:r w:rsidR="00021E9C" w:rsidRPr="00DD63DE">
        <w:rPr>
          <w:szCs w:val="24"/>
        </w:rPr>
        <w:t xml:space="preserve"> </w:t>
      </w:r>
      <w:r w:rsidR="00BC16BA">
        <w:rPr>
          <w:szCs w:val="24"/>
        </w:rPr>
        <w:t>Environmental protections</w:t>
      </w:r>
    </w:p>
    <w:p w14:paraId="473282C8" w14:textId="1021652B" w:rsidR="00E50E99" w:rsidRDefault="00E50E99" w:rsidP="00EC2FBA">
      <w:pPr>
        <w:ind w:left="720"/>
        <w:rPr>
          <w:szCs w:val="24"/>
        </w:rPr>
      </w:pPr>
      <w:r>
        <w:rPr>
          <w:szCs w:val="24"/>
        </w:rPr>
        <w:t xml:space="preserve">Pillar </w:t>
      </w:r>
      <w:r w:rsidR="00BC16BA">
        <w:rPr>
          <w:szCs w:val="24"/>
        </w:rPr>
        <w:t>6</w:t>
      </w:r>
      <w:r>
        <w:rPr>
          <w:szCs w:val="24"/>
        </w:rPr>
        <w:t>:</w:t>
      </w:r>
      <w:r w:rsidR="00BC16BA">
        <w:rPr>
          <w:szCs w:val="24"/>
        </w:rPr>
        <w:t xml:space="preserve"> Community infrastructure</w:t>
      </w:r>
    </w:p>
    <w:p w14:paraId="496C3C5E" w14:textId="3A23D13D" w:rsidR="005C0687" w:rsidRDefault="00021E9C" w:rsidP="00DD63DE">
      <w:pPr>
        <w:rPr>
          <w:szCs w:val="24"/>
        </w:rPr>
      </w:pPr>
      <w:r w:rsidRPr="00DD63DE">
        <w:rPr>
          <w:szCs w:val="24"/>
        </w:rPr>
        <w:t xml:space="preserve">Development actors are requested to support the </w:t>
      </w:r>
      <w:r w:rsidR="002E79EE">
        <w:rPr>
          <w:szCs w:val="24"/>
        </w:rPr>
        <w:t xml:space="preserve">implementation of the six pillars of the STA as a way </w:t>
      </w:r>
      <w:r w:rsidR="00B15092">
        <w:rPr>
          <w:szCs w:val="24"/>
        </w:rPr>
        <w:t>of</w:t>
      </w:r>
      <w:r w:rsidR="002E79EE">
        <w:rPr>
          <w:szCs w:val="24"/>
        </w:rPr>
        <w:t xml:space="preserve"> contributing towards the overall goal of durable solution. </w:t>
      </w:r>
      <w:r w:rsidRPr="00DD63DE">
        <w:rPr>
          <w:szCs w:val="24"/>
        </w:rPr>
        <w:t>The support from the</w:t>
      </w:r>
      <w:r>
        <w:rPr>
          <w:szCs w:val="24"/>
        </w:rPr>
        <w:t xml:space="preserve"> G</w:t>
      </w:r>
      <w:r w:rsidRPr="00DD63DE">
        <w:rPr>
          <w:szCs w:val="24"/>
        </w:rPr>
        <w:t>overnment</w:t>
      </w:r>
      <w:r>
        <w:rPr>
          <w:szCs w:val="24"/>
        </w:rPr>
        <w:t xml:space="preserve"> of Denmark</w:t>
      </w:r>
      <w:r w:rsidRPr="00DD63DE">
        <w:rPr>
          <w:szCs w:val="24"/>
        </w:rPr>
        <w:t xml:space="preserve"> in development programmes </w:t>
      </w:r>
      <w:r w:rsidR="00A025D4">
        <w:rPr>
          <w:szCs w:val="24"/>
        </w:rPr>
        <w:t>in the form of a new phase of</w:t>
      </w:r>
      <w:r w:rsidRPr="00DD63DE">
        <w:rPr>
          <w:szCs w:val="24"/>
        </w:rPr>
        <w:t xml:space="preserve"> NURI is considered </w:t>
      </w:r>
      <w:r w:rsidR="009241D2">
        <w:rPr>
          <w:szCs w:val="24"/>
        </w:rPr>
        <w:t xml:space="preserve">highly </w:t>
      </w:r>
      <w:r w:rsidRPr="00DD63DE">
        <w:rPr>
          <w:szCs w:val="24"/>
        </w:rPr>
        <w:t>suitable for this purpose</w:t>
      </w:r>
      <w:r w:rsidR="00BA2178">
        <w:rPr>
          <w:szCs w:val="24"/>
        </w:rPr>
        <w:t xml:space="preserve"> </w:t>
      </w:r>
      <w:r w:rsidR="00EC2FBA">
        <w:rPr>
          <w:szCs w:val="24"/>
        </w:rPr>
        <w:t>with activities design</w:t>
      </w:r>
      <w:r w:rsidR="00C72ECF">
        <w:rPr>
          <w:szCs w:val="24"/>
        </w:rPr>
        <w:t>ed</w:t>
      </w:r>
      <w:r w:rsidR="00EC2FBA">
        <w:rPr>
          <w:szCs w:val="24"/>
        </w:rPr>
        <w:t xml:space="preserve"> to address </w:t>
      </w:r>
      <w:r w:rsidR="00883C23">
        <w:rPr>
          <w:szCs w:val="24"/>
        </w:rPr>
        <w:t>indicative results</w:t>
      </w:r>
      <w:r w:rsidR="00A76CB7">
        <w:rPr>
          <w:szCs w:val="24"/>
        </w:rPr>
        <w:t xml:space="preserve"> within </w:t>
      </w:r>
      <w:r w:rsidR="00F51D1D">
        <w:rPr>
          <w:szCs w:val="24"/>
        </w:rPr>
        <w:t xml:space="preserve">STA pillars of sustainable livelihood, peaceful co-existence, environmental protections and community infrastructure. </w:t>
      </w:r>
      <w:r w:rsidR="003059B2">
        <w:rPr>
          <w:szCs w:val="24"/>
        </w:rPr>
        <w:t xml:space="preserve"> </w:t>
      </w:r>
    </w:p>
    <w:p w14:paraId="23119172" w14:textId="20438C24" w:rsidR="00D61CD3" w:rsidRDefault="00D61CD3" w:rsidP="00D61CD3">
      <w:pPr>
        <w:pStyle w:val="Heading2"/>
      </w:pPr>
      <w:r>
        <w:t>Geographical focus of engagement</w:t>
      </w:r>
    </w:p>
    <w:p w14:paraId="1EEE6792" w14:textId="4EEDEE9A" w:rsidR="00BB24BB" w:rsidRDefault="00BB24BB" w:rsidP="00BB24BB">
      <w:r>
        <w:t xml:space="preserve">The current NURI programme operates with the broad definition of refugee-affected areas and regions without distinguishing between </w:t>
      </w:r>
      <w:r w:rsidR="00F76033">
        <w:t>refuge hosting districts (</w:t>
      </w:r>
      <w:r>
        <w:t>RHDs</w:t>
      </w:r>
      <w:r w:rsidR="00F76033">
        <w:t>)</w:t>
      </w:r>
      <w:r>
        <w:t xml:space="preserve"> and districts not classified as RHDs. NURI has taken a similar broad approach </w:t>
      </w:r>
      <w:r w:rsidR="00A025D4">
        <w:t>in</w:t>
      </w:r>
      <w:r>
        <w:t xml:space="preserve"> </w:t>
      </w:r>
      <w:r w:rsidR="00A025D4">
        <w:t xml:space="preserve">choice of implementation area </w:t>
      </w:r>
      <w:r>
        <w:t xml:space="preserve">looking at needs and opportunities within all districts of West Nile and Acholi sub-regions, presence of other actors and partners and </w:t>
      </w:r>
      <w:proofErr w:type="spellStart"/>
      <w:r>
        <w:t>Danida</w:t>
      </w:r>
      <w:r w:rsidR="00C72ECF">
        <w:t>’s</w:t>
      </w:r>
      <w:proofErr w:type="spellEnd"/>
      <w:r>
        <w:t xml:space="preserve"> historical engagement in the region</w:t>
      </w:r>
      <w:r w:rsidR="00354158">
        <w:t xml:space="preserve"> without distinguishing between RH</w:t>
      </w:r>
      <w:r w:rsidR="00C72ECF">
        <w:t>D</w:t>
      </w:r>
      <w:r w:rsidR="00354158">
        <w:t>s and non-RHDs</w:t>
      </w:r>
      <w:r>
        <w:t xml:space="preserve">. </w:t>
      </w:r>
    </w:p>
    <w:p w14:paraId="3B07FFD1" w14:textId="79755511" w:rsidR="00BB24BB" w:rsidRDefault="00BB24BB" w:rsidP="00F76033">
      <w:pPr>
        <w:adjustRightInd w:val="0"/>
        <w:spacing w:after="0" w:line="240" w:lineRule="auto"/>
      </w:pPr>
      <w:r>
        <w:t>T</w:t>
      </w:r>
      <w:r w:rsidRPr="00BE26D7">
        <w:t>he USF</w:t>
      </w:r>
      <w:r>
        <w:t xml:space="preserve"> 2023-27</w:t>
      </w:r>
      <w:r w:rsidRPr="00BE26D7">
        <w:t xml:space="preserve"> works with an equally broad definition using the term refugee hosting areas and regions</w:t>
      </w:r>
      <w:r>
        <w:t xml:space="preserve"> which provides valuable </w:t>
      </w:r>
      <w:r w:rsidRPr="00BE26D7">
        <w:t>flexibility for programming.</w:t>
      </w:r>
      <w:r>
        <w:t xml:space="preserve"> However, at project level it would be advisable to work according to </w:t>
      </w:r>
      <w:r w:rsidR="00C72ECF">
        <w:t xml:space="preserve">the </w:t>
      </w:r>
      <w:r w:rsidR="002A3DFF">
        <w:t>Government of Uganda</w:t>
      </w:r>
      <w:r w:rsidR="00C72ECF">
        <w:t>’s</w:t>
      </w:r>
      <w:r>
        <w:t xml:space="preserve"> definitions and policies for purpose of alignment and coordination. </w:t>
      </w:r>
    </w:p>
    <w:p w14:paraId="64A366D0" w14:textId="77777777" w:rsidR="00F76033" w:rsidRDefault="00F76033" w:rsidP="00F76033">
      <w:pPr>
        <w:adjustRightInd w:val="0"/>
        <w:spacing w:after="0" w:line="240" w:lineRule="auto"/>
      </w:pPr>
    </w:p>
    <w:p w14:paraId="07564715" w14:textId="5D33B581" w:rsidR="00BB24BB" w:rsidRPr="00A75AC9" w:rsidRDefault="00BB24BB" w:rsidP="00BB24BB">
      <w:r>
        <w:t xml:space="preserve">The new phase of NURI provides an opportunity </w:t>
      </w:r>
      <w:r w:rsidRPr="00A75AC9">
        <w:t xml:space="preserve">to refocus and strengthen the work done in RHDs. In these districts the needs are high, and the expertise developed during NURI would be particularly beneficial to the target population. </w:t>
      </w:r>
      <w:r>
        <w:t>T</w:t>
      </w:r>
      <w:r w:rsidRPr="00A75AC9">
        <w:t>h</w:t>
      </w:r>
      <w:r>
        <w:t xml:space="preserve">e </w:t>
      </w:r>
      <w:r w:rsidR="002A3DFF">
        <w:t>Government of Uganda</w:t>
      </w:r>
      <w:r>
        <w:t xml:space="preserve"> </w:t>
      </w:r>
      <w:r w:rsidRPr="00A75AC9">
        <w:t>is strong</w:t>
      </w:r>
      <w:r>
        <w:t>ly</w:t>
      </w:r>
      <w:r w:rsidRPr="00A75AC9">
        <w:t xml:space="preserve"> promoting the operationalisation of the </w:t>
      </w:r>
      <w:r w:rsidR="00BE081D">
        <w:t xml:space="preserve">HDP </w:t>
      </w:r>
      <w:r w:rsidRPr="00A75AC9">
        <w:t xml:space="preserve">nexus approach, bridging humanitarian and development dimensions in the refugee response. Danida will be supporting this approach by increased engagement in </w:t>
      </w:r>
      <w:r>
        <w:t>a long-term developmental</w:t>
      </w:r>
      <w:r w:rsidRPr="00A75AC9">
        <w:t xml:space="preserve"> </w:t>
      </w:r>
      <w:r>
        <w:t xml:space="preserve">response in RHDs by including both </w:t>
      </w:r>
      <w:r w:rsidRPr="00A75AC9">
        <w:t>host</w:t>
      </w:r>
      <w:r>
        <w:t xml:space="preserve"> and refugee populations</w:t>
      </w:r>
      <w:r w:rsidRPr="00A75AC9">
        <w:t xml:space="preserve">. </w:t>
      </w:r>
    </w:p>
    <w:p w14:paraId="35DEBCC0" w14:textId="26B59666" w:rsidR="00B1681F" w:rsidRDefault="0028657A" w:rsidP="00B1681F">
      <w:pPr>
        <w:widowControl/>
        <w:adjustRightInd w:val="0"/>
        <w:spacing w:after="0" w:line="240" w:lineRule="auto"/>
        <w:jc w:val="left"/>
        <w:rPr>
          <w:rFonts w:ascii="CIDFont+F2" w:hAnsi="CIDFont+F2" w:cs="CIDFont+F2"/>
          <w:color w:val="auto"/>
          <w:sz w:val="21"/>
          <w:szCs w:val="21"/>
          <w:lang w:eastAsia="en-US" w:bidi="ar-SA"/>
        </w:rPr>
      </w:pPr>
      <w:r>
        <w:t xml:space="preserve">However, it is important to note that there is a discrepancy at policy level </w:t>
      </w:r>
      <w:r w:rsidR="00B1681F">
        <w:t xml:space="preserve">where different SRPs define geographic scope and targeting of districts differently. </w:t>
      </w:r>
      <w:r w:rsidR="00B1681F" w:rsidRPr="00820FB5">
        <w:t xml:space="preserve">At the same time, several stakeholders raise concerns about a lack of attention to refugee-hosting areas outside of these recognised districts, or where refugees reside outside of the settlements. </w:t>
      </w:r>
    </w:p>
    <w:p w14:paraId="507FE0DF" w14:textId="77777777" w:rsidR="00C36EDB" w:rsidRDefault="00C36EDB" w:rsidP="00C36EDB">
      <w:pPr>
        <w:widowControl/>
        <w:adjustRightInd w:val="0"/>
        <w:spacing w:after="0" w:line="240" w:lineRule="auto"/>
        <w:jc w:val="left"/>
        <w:rPr>
          <w:rFonts w:ascii="CIDFont+F2" w:hAnsi="CIDFont+F2" w:cs="CIDFont+F2"/>
          <w:color w:val="auto"/>
          <w:sz w:val="21"/>
          <w:szCs w:val="21"/>
          <w:lang w:eastAsia="en-US" w:bidi="ar-SA"/>
        </w:rPr>
      </w:pPr>
    </w:p>
    <w:p w14:paraId="54E2A107" w14:textId="6CE7A9E5" w:rsidR="00C36EDB" w:rsidRDefault="00C36EDB" w:rsidP="0034374C">
      <w:r>
        <w:rPr>
          <w:lang w:eastAsia="en-US" w:bidi="ar-SA"/>
        </w:rPr>
        <w:t>These areas can be classified as follows</w:t>
      </w:r>
      <w:r>
        <w:t>:</w:t>
      </w:r>
      <w:r w:rsidRPr="005348F9">
        <w:rPr>
          <w:rStyle w:val="FootnoteReference"/>
          <w:rFonts w:ascii="CIDFont+F2" w:hAnsi="CIDFont+F2" w:cs="CIDFont+F2"/>
          <w:sz w:val="21"/>
          <w:szCs w:val="21"/>
        </w:rPr>
        <w:t xml:space="preserve"> </w:t>
      </w:r>
      <w:r>
        <w:rPr>
          <w:rStyle w:val="FootnoteReference"/>
          <w:rFonts w:ascii="CIDFont+F2" w:hAnsi="CIDFont+F2" w:cs="CIDFont+F2"/>
          <w:sz w:val="21"/>
          <w:szCs w:val="21"/>
        </w:rPr>
        <w:footnoteReference w:id="4"/>
      </w:r>
      <w:r>
        <w:t xml:space="preserve"> </w:t>
      </w:r>
    </w:p>
    <w:tbl>
      <w:tblPr>
        <w:tblStyle w:val="TableGrid"/>
        <w:tblW w:w="0" w:type="auto"/>
        <w:tblLook w:val="04A0" w:firstRow="1" w:lastRow="0" w:firstColumn="1" w:lastColumn="0" w:noHBand="0" w:noVBand="1"/>
      </w:tblPr>
      <w:tblGrid>
        <w:gridCol w:w="1838"/>
        <w:gridCol w:w="7178"/>
      </w:tblGrid>
      <w:tr w:rsidR="00C36EDB" w:rsidRPr="0034374C" w14:paraId="43E5B2DB" w14:textId="77777777" w:rsidTr="009A2A8A">
        <w:tc>
          <w:tcPr>
            <w:tcW w:w="1838" w:type="dxa"/>
          </w:tcPr>
          <w:p w14:paraId="15487777" w14:textId="77777777" w:rsidR="00C36EDB" w:rsidRPr="0034374C" w:rsidRDefault="00C36EDB" w:rsidP="0034374C">
            <w:r w:rsidRPr="0034374C">
              <w:rPr>
                <w:color w:val="000000"/>
              </w:rPr>
              <w:t>Transit districts</w:t>
            </w:r>
          </w:p>
        </w:tc>
        <w:tc>
          <w:tcPr>
            <w:tcW w:w="7178" w:type="dxa"/>
          </w:tcPr>
          <w:p w14:paraId="181BD59E" w14:textId="77777777" w:rsidR="00C36EDB" w:rsidRPr="0034374C" w:rsidRDefault="00C36EDB" w:rsidP="0034374C">
            <w:pPr>
              <w:rPr>
                <w:color w:val="000000"/>
              </w:rPr>
            </w:pPr>
            <w:r w:rsidRPr="0034374C">
              <w:rPr>
                <w:color w:val="000000"/>
              </w:rPr>
              <w:t>When entering Uganda, refugees arrive in ‘transit districts’ and reside in initial</w:t>
            </w:r>
          </w:p>
          <w:p w14:paraId="7EDEC983" w14:textId="77777777" w:rsidR="00C36EDB" w:rsidRPr="0034374C" w:rsidRDefault="00C36EDB" w:rsidP="0034374C">
            <w:pPr>
              <w:rPr>
                <w:color w:val="000000"/>
              </w:rPr>
            </w:pPr>
            <w:r w:rsidRPr="0034374C">
              <w:rPr>
                <w:color w:val="000000"/>
              </w:rPr>
              <w:t xml:space="preserve">reception centres before being allocated a plot in one of the formal refugee settlements in an RHD. </w:t>
            </w:r>
          </w:p>
        </w:tc>
      </w:tr>
      <w:tr w:rsidR="00C36EDB" w:rsidRPr="0034374C" w14:paraId="66F499E9" w14:textId="77777777" w:rsidTr="009A2A8A">
        <w:tc>
          <w:tcPr>
            <w:tcW w:w="1838" w:type="dxa"/>
          </w:tcPr>
          <w:p w14:paraId="5E0B5698" w14:textId="77777777" w:rsidR="00C36EDB" w:rsidRPr="0034374C" w:rsidRDefault="00C36EDB" w:rsidP="0034374C">
            <w:r w:rsidRPr="0034374C">
              <w:rPr>
                <w:color w:val="000000"/>
              </w:rPr>
              <w:t>Secondary cities</w:t>
            </w:r>
          </w:p>
        </w:tc>
        <w:tc>
          <w:tcPr>
            <w:tcW w:w="7178" w:type="dxa"/>
          </w:tcPr>
          <w:p w14:paraId="7405F9A8" w14:textId="4F79F3EC" w:rsidR="00C36EDB" w:rsidRPr="0034374C" w:rsidRDefault="00C31BAB" w:rsidP="0034374C">
            <w:pPr>
              <w:rPr>
                <w:color w:val="000000"/>
              </w:rPr>
            </w:pPr>
            <w:r>
              <w:rPr>
                <w:color w:val="000000"/>
              </w:rPr>
              <w:t>W</w:t>
            </w:r>
            <w:r w:rsidR="00C36EDB" w:rsidRPr="0034374C">
              <w:rPr>
                <w:color w:val="000000"/>
              </w:rPr>
              <w:t>hile refugees are registered and assisted only at settlement level, there</w:t>
            </w:r>
          </w:p>
          <w:p w14:paraId="24478636" w14:textId="77777777" w:rsidR="00C36EDB" w:rsidRPr="0034374C" w:rsidRDefault="00C36EDB" w:rsidP="0034374C">
            <w:pPr>
              <w:rPr>
                <w:color w:val="000000"/>
              </w:rPr>
            </w:pPr>
            <w:r w:rsidRPr="0034374C">
              <w:rPr>
                <w:color w:val="000000"/>
              </w:rPr>
              <w:t xml:space="preserve">are pendular movements of refugees to and from secondary urban areas. </w:t>
            </w:r>
          </w:p>
        </w:tc>
      </w:tr>
      <w:tr w:rsidR="00C36EDB" w:rsidRPr="0034374C" w14:paraId="6AE791E1" w14:textId="77777777" w:rsidTr="009A2A8A">
        <w:tc>
          <w:tcPr>
            <w:tcW w:w="1838" w:type="dxa"/>
          </w:tcPr>
          <w:p w14:paraId="50C166BF" w14:textId="77777777" w:rsidR="00C36EDB" w:rsidRPr="0034374C" w:rsidRDefault="00C36EDB" w:rsidP="0034374C">
            <w:r w:rsidRPr="0034374C">
              <w:rPr>
                <w:color w:val="000000"/>
              </w:rPr>
              <w:lastRenderedPageBreak/>
              <w:t>Areas with self-settled ‘refugees’</w:t>
            </w:r>
          </w:p>
        </w:tc>
        <w:tc>
          <w:tcPr>
            <w:tcW w:w="7178" w:type="dxa"/>
          </w:tcPr>
          <w:p w14:paraId="268F84D4" w14:textId="5F9023BA" w:rsidR="00C36EDB" w:rsidRPr="0034374C" w:rsidRDefault="00C31BAB" w:rsidP="0034374C">
            <w:pPr>
              <w:rPr>
                <w:color w:val="000000"/>
              </w:rPr>
            </w:pPr>
            <w:r>
              <w:rPr>
                <w:color w:val="000000"/>
              </w:rPr>
              <w:t>A</w:t>
            </w:r>
            <w:r w:rsidR="00C36EDB" w:rsidRPr="0034374C">
              <w:rPr>
                <w:color w:val="000000"/>
              </w:rPr>
              <w:t xml:space="preserve">n unknown number of refugees are ‘self-settled’ in border areas; they arrive without being officially registered and are not residing in the refugee settlements. </w:t>
            </w:r>
          </w:p>
        </w:tc>
      </w:tr>
      <w:tr w:rsidR="00C36EDB" w:rsidRPr="0034374C" w14:paraId="7B11FF1C" w14:textId="77777777" w:rsidTr="009A2A8A">
        <w:tc>
          <w:tcPr>
            <w:tcW w:w="1838" w:type="dxa"/>
          </w:tcPr>
          <w:p w14:paraId="50D44EE9" w14:textId="77777777" w:rsidR="00C36EDB" w:rsidRPr="0034374C" w:rsidRDefault="00C36EDB" w:rsidP="0034374C">
            <w:r w:rsidRPr="0034374C">
              <w:rPr>
                <w:color w:val="000000"/>
              </w:rPr>
              <w:t>Districts neighbouring the RHDs</w:t>
            </w:r>
          </w:p>
        </w:tc>
        <w:tc>
          <w:tcPr>
            <w:tcW w:w="7178" w:type="dxa"/>
          </w:tcPr>
          <w:p w14:paraId="7BE42951" w14:textId="184B452D" w:rsidR="00C36EDB" w:rsidRPr="0034374C" w:rsidRDefault="00C31BAB" w:rsidP="0034374C">
            <w:pPr>
              <w:rPr>
                <w:color w:val="000000"/>
              </w:rPr>
            </w:pPr>
            <w:r>
              <w:rPr>
                <w:color w:val="000000"/>
              </w:rPr>
              <w:t>G</w:t>
            </w:r>
            <w:r w:rsidR="00C36EDB" w:rsidRPr="0034374C">
              <w:rPr>
                <w:color w:val="000000"/>
              </w:rPr>
              <w:t xml:space="preserve">iven the large size of the refugee settlements in Uganda, they may also impact those districts bordering the RHDs; for example, affecting the environment, labour markets, services, and infrastructure – in positive or negative ways. </w:t>
            </w:r>
          </w:p>
        </w:tc>
      </w:tr>
    </w:tbl>
    <w:p w14:paraId="3B86194D" w14:textId="77777777" w:rsidR="005401A5" w:rsidRDefault="005401A5" w:rsidP="005401A5"/>
    <w:p w14:paraId="54CF5718" w14:textId="5C21CF0A" w:rsidR="005401A5" w:rsidRDefault="005401A5" w:rsidP="005401A5">
      <w:r>
        <w:t xml:space="preserve">It would therefore be necessary to include analysis of </w:t>
      </w:r>
      <w:r w:rsidR="00C24346">
        <w:t xml:space="preserve">impact of refugee influx, needs and </w:t>
      </w:r>
      <w:r w:rsidR="00C31BAB">
        <w:t>opportunities</w:t>
      </w:r>
      <w:r w:rsidR="00264613">
        <w:t xml:space="preserve"> in neighbouring districts and areas with self-settled refugees to asses relevance of implementation of NURI core activities. </w:t>
      </w:r>
      <w:r w:rsidR="002204E0">
        <w:t xml:space="preserve">Thereby saying that while NURI should focus on RHDs it should also be open to including neighbouring districts when justifiable. </w:t>
      </w:r>
    </w:p>
    <w:p w14:paraId="18C1823A" w14:textId="746CE7E4" w:rsidR="00B35256" w:rsidRDefault="00644761" w:rsidP="00B35256">
      <w:pPr>
        <w:pStyle w:val="Heading2"/>
      </w:pPr>
      <w:r>
        <w:t>Strategic focus of engagement</w:t>
      </w:r>
    </w:p>
    <w:p w14:paraId="7E69D591" w14:textId="375BE806" w:rsidR="00C55780" w:rsidRDefault="0005071C" w:rsidP="00644761">
      <w:pPr>
        <w:rPr>
          <w:lang w:eastAsia="da-DK"/>
        </w:rPr>
      </w:pPr>
      <w:r>
        <w:rPr>
          <w:lang w:eastAsia="da-DK"/>
        </w:rPr>
        <w:t xml:space="preserve">The new country programme for Danish development cooperation with Uganda – </w:t>
      </w:r>
      <w:r w:rsidR="00C72ECF">
        <w:rPr>
          <w:lang w:eastAsia="da-DK"/>
        </w:rPr>
        <w:t xml:space="preserve">the </w:t>
      </w:r>
      <w:r>
        <w:rPr>
          <w:lang w:eastAsia="da-DK"/>
        </w:rPr>
        <w:t>Uganda Strategic Framework (USF)</w:t>
      </w:r>
      <w:r w:rsidR="007E733D">
        <w:rPr>
          <w:lang w:eastAsia="da-DK"/>
        </w:rPr>
        <w:t xml:space="preserve"> 2023-2027 </w:t>
      </w:r>
      <w:r w:rsidR="00FA55B7">
        <w:rPr>
          <w:lang w:eastAsia="da-DK"/>
        </w:rPr>
        <w:t xml:space="preserve">has an overall vision of </w:t>
      </w:r>
      <w:r w:rsidR="00FA55B7">
        <w:rPr>
          <w:i/>
          <w:iCs/>
          <w:lang w:eastAsia="da-DK"/>
        </w:rPr>
        <w:t xml:space="preserve">a more democratic Uganda, upholding human rights, capable of adapting to the ongoing climate change crisis by using the green transformation to create jobs, hope and opportunities, while continuing to play a stabilising role in an unstable region including by hosting </w:t>
      </w:r>
      <w:r w:rsidR="00590754">
        <w:rPr>
          <w:i/>
          <w:iCs/>
          <w:lang w:eastAsia="da-DK"/>
        </w:rPr>
        <w:t xml:space="preserve">refugees from neighbouring countries. </w:t>
      </w:r>
      <w:r w:rsidR="00590754">
        <w:rPr>
          <w:lang w:eastAsia="da-DK"/>
        </w:rPr>
        <w:t xml:space="preserve">Of the three strategic objectives </w:t>
      </w:r>
      <w:r w:rsidR="008823B7">
        <w:rPr>
          <w:lang w:eastAsia="da-DK"/>
        </w:rPr>
        <w:t xml:space="preserve">(SO) </w:t>
      </w:r>
      <w:r w:rsidR="00590754">
        <w:rPr>
          <w:lang w:eastAsia="da-DK"/>
        </w:rPr>
        <w:t>of the USF a new phase of NURI will address</w:t>
      </w:r>
      <w:r w:rsidR="00C55780">
        <w:rPr>
          <w:lang w:eastAsia="da-DK"/>
        </w:rPr>
        <w:t>:</w:t>
      </w:r>
    </w:p>
    <w:p w14:paraId="3AD7B246" w14:textId="77777777" w:rsidR="005A52A9" w:rsidRPr="005A52A9" w:rsidRDefault="00C55780" w:rsidP="005A52A9">
      <w:pPr>
        <w:widowControl/>
        <w:autoSpaceDE/>
        <w:autoSpaceDN/>
        <w:spacing w:line="240" w:lineRule="auto"/>
        <w:contextualSpacing/>
        <w:rPr>
          <w:rFonts w:asciiTheme="minorHAnsi" w:hAnsiTheme="minorHAnsi" w:cstheme="minorHAnsi"/>
          <w:b/>
          <w:i/>
        </w:rPr>
      </w:pPr>
      <w:r w:rsidRPr="005A52A9">
        <w:t xml:space="preserve">Strategic objective </w:t>
      </w:r>
      <w:r w:rsidR="00C24346" w:rsidRPr="005A52A9">
        <w:t>1</w:t>
      </w:r>
      <w:r w:rsidRPr="005A52A9">
        <w:t xml:space="preserve">: </w:t>
      </w:r>
      <w:r w:rsidR="005A52A9" w:rsidRPr="005A52A9">
        <w:rPr>
          <w:rFonts w:asciiTheme="minorHAnsi" w:hAnsiTheme="minorHAnsi" w:cstheme="minorHAnsi"/>
          <w:i/>
        </w:rPr>
        <w:t>Promote sustainable and durable solutions for refugees and support Uganda’s stabilising role in the region.</w:t>
      </w:r>
    </w:p>
    <w:p w14:paraId="020EEB16" w14:textId="77777777" w:rsidR="005A52A9" w:rsidRPr="005A52A9" w:rsidRDefault="00C55780" w:rsidP="005A52A9">
      <w:pPr>
        <w:widowControl/>
        <w:autoSpaceDE/>
        <w:autoSpaceDN/>
        <w:spacing w:line="240" w:lineRule="auto"/>
        <w:contextualSpacing/>
        <w:rPr>
          <w:rFonts w:asciiTheme="minorHAnsi" w:hAnsiTheme="minorHAnsi" w:cstheme="minorHAnsi"/>
          <w:b/>
          <w:i/>
        </w:rPr>
      </w:pPr>
      <w:r w:rsidRPr="005A52A9">
        <w:t xml:space="preserve">Strategic objective </w:t>
      </w:r>
      <w:r w:rsidR="00C24346" w:rsidRPr="005A52A9">
        <w:t>2</w:t>
      </w:r>
      <w:r w:rsidRPr="005A52A9">
        <w:t xml:space="preserve">: </w:t>
      </w:r>
      <w:r w:rsidR="005A52A9" w:rsidRPr="005A52A9">
        <w:rPr>
          <w:rStyle w:val="normaltextrun"/>
          <w:rFonts w:asciiTheme="minorHAnsi" w:hAnsiTheme="minorHAnsi" w:cstheme="minorHAnsi"/>
          <w:snapToGrid w:val="0"/>
        </w:rPr>
        <w:t>Promote</w:t>
      </w:r>
      <w:r w:rsidR="005A52A9" w:rsidRPr="005A52A9">
        <w:rPr>
          <w:rFonts w:asciiTheme="minorHAnsi" w:hAnsiTheme="minorHAnsi" w:cstheme="minorHAnsi"/>
          <w:i/>
        </w:rPr>
        <w:t xml:space="preserve"> a sustainable, inclusive and green economic transformation to adapt to the global climate crisis.</w:t>
      </w:r>
    </w:p>
    <w:p w14:paraId="3A196B2C" w14:textId="77777777" w:rsidR="005A52A9" w:rsidRDefault="005A52A9">
      <w:pPr>
        <w:rPr>
          <w:lang w:eastAsia="da-DK"/>
        </w:rPr>
      </w:pPr>
    </w:p>
    <w:p w14:paraId="6E24A238" w14:textId="10874CD8" w:rsidR="00284A06" w:rsidRDefault="00EB214B">
      <w:pPr>
        <w:rPr>
          <w:lang w:eastAsia="da-DK"/>
        </w:rPr>
      </w:pPr>
      <w:r>
        <w:rPr>
          <w:lang w:eastAsia="da-DK"/>
        </w:rPr>
        <w:t>Most</w:t>
      </w:r>
      <w:r w:rsidR="003D750C">
        <w:rPr>
          <w:lang w:eastAsia="da-DK"/>
        </w:rPr>
        <w:t xml:space="preserve"> activities within a new phase of NURI will contribute to achieving strategic objective </w:t>
      </w:r>
      <w:r w:rsidR="00630317">
        <w:rPr>
          <w:lang w:eastAsia="da-DK"/>
        </w:rPr>
        <w:t>1</w:t>
      </w:r>
      <w:r w:rsidR="00461DEF">
        <w:rPr>
          <w:lang w:eastAsia="da-DK"/>
        </w:rPr>
        <w:t xml:space="preserve"> in support of sustainable and durable solutions in refugee hosting districts.</w:t>
      </w:r>
      <w:r w:rsidR="00611894">
        <w:rPr>
          <w:lang w:eastAsia="da-DK"/>
        </w:rPr>
        <w:t xml:space="preserve"> As such activities aimed at increasing climate resilience and livelihoods among refugee and host communities will be reported </w:t>
      </w:r>
      <w:r w:rsidR="00434D63">
        <w:rPr>
          <w:lang w:eastAsia="da-DK"/>
        </w:rPr>
        <w:t xml:space="preserve">as contributing to strategic objective </w:t>
      </w:r>
      <w:r w:rsidR="00630317">
        <w:rPr>
          <w:lang w:eastAsia="da-DK"/>
        </w:rPr>
        <w:t>1</w:t>
      </w:r>
      <w:r w:rsidR="00434D63">
        <w:rPr>
          <w:lang w:eastAsia="da-DK"/>
        </w:rPr>
        <w:t>.</w:t>
      </w:r>
      <w:r w:rsidR="00461DEF">
        <w:rPr>
          <w:lang w:eastAsia="da-DK"/>
        </w:rPr>
        <w:t xml:space="preserve"> </w:t>
      </w:r>
      <w:r w:rsidR="00434D63">
        <w:rPr>
          <w:lang w:eastAsia="da-DK"/>
        </w:rPr>
        <w:t>However, i</w:t>
      </w:r>
      <w:r w:rsidR="00461DEF">
        <w:rPr>
          <w:lang w:eastAsia="da-DK"/>
        </w:rPr>
        <w:t xml:space="preserve">t should be noted that </w:t>
      </w:r>
      <w:r w:rsidR="00434D63">
        <w:rPr>
          <w:lang w:eastAsia="da-DK"/>
        </w:rPr>
        <w:t>several</w:t>
      </w:r>
      <w:r w:rsidR="00461DEF">
        <w:rPr>
          <w:lang w:eastAsia="da-DK"/>
        </w:rPr>
        <w:t xml:space="preserve"> activities under this part of the programme will support climate change adaptation since </w:t>
      </w:r>
      <w:r w:rsidR="00E1061B">
        <w:rPr>
          <w:lang w:eastAsia="da-DK"/>
        </w:rPr>
        <w:t>livelihood activities</w:t>
      </w:r>
      <w:r w:rsidR="00C72ECF">
        <w:rPr>
          <w:lang w:eastAsia="da-DK"/>
        </w:rPr>
        <w:t>,</w:t>
      </w:r>
      <w:r w:rsidR="00E1061B">
        <w:rPr>
          <w:lang w:eastAsia="da-DK"/>
        </w:rPr>
        <w:t xml:space="preserve"> including agriculture production</w:t>
      </w:r>
      <w:r w:rsidR="00C72ECF">
        <w:rPr>
          <w:lang w:eastAsia="da-DK"/>
        </w:rPr>
        <w:t>,</w:t>
      </w:r>
      <w:r w:rsidR="00E1061B">
        <w:rPr>
          <w:lang w:eastAsia="da-DK"/>
        </w:rPr>
        <w:t xml:space="preserve"> will includ</w:t>
      </w:r>
      <w:r w:rsidR="00C72ECF">
        <w:rPr>
          <w:lang w:eastAsia="da-DK"/>
        </w:rPr>
        <w:t>e</w:t>
      </w:r>
      <w:r w:rsidR="00E1061B">
        <w:rPr>
          <w:lang w:eastAsia="da-DK"/>
        </w:rPr>
        <w:t xml:space="preserve"> </w:t>
      </w:r>
      <w:r w:rsidR="008703EA" w:rsidRPr="47BC1CC8">
        <w:t>promot</w:t>
      </w:r>
      <w:r w:rsidR="008703EA">
        <w:t>ing</w:t>
      </w:r>
      <w:r w:rsidR="008703EA" w:rsidRPr="47BC1CC8">
        <w:t xml:space="preserve"> biodiversity and sustainable management of environment and natural resources</w:t>
      </w:r>
      <w:r w:rsidR="00E1061B">
        <w:rPr>
          <w:lang w:eastAsia="da-DK"/>
        </w:rPr>
        <w:t>.</w:t>
      </w:r>
      <w:r w:rsidR="00253664">
        <w:rPr>
          <w:lang w:eastAsia="da-DK"/>
        </w:rPr>
        <w:t xml:space="preserve"> It would be feasible </w:t>
      </w:r>
      <w:r w:rsidR="00ED2ADD">
        <w:rPr>
          <w:lang w:eastAsia="da-DK"/>
        </w:rPr>
        <w:t xml:space="preserve">though </w:t>
      </w:r>
      <w:r w:rsidR="00253664">
        <w:rPr>
          <w:lang w:eastAsia="da-DK"/>
        </w:rPr>
        <w:t>to request that i</w:t>
      </w:r>
      <w:r w:rsidR="0065078F">
        <w:rPr>
          <w:lang w:eastAsia="da-DK"/>
        </w:rPr>
        <w:t xml:space="preserve">mplementing organisations report according to the Rio Markers and the IUCN Global Standards for </w:t>
      </w:r>
      <w:r w:rsidR="00B53B02">
        <w:rPr>
          <w:lang w:eastAsia="da-DK"/>
        </w:rPr>
        <w:t xml:space="preserve">Nature-based Solutions across all activities within the programme. </w:t>
      </w:r>
    </w:p>
    <w:p w14:paraId="28DF4245" w14:textId="407CBBAE" w:rsidR="00284A06" w:rsidRPr="00EA5062" w:rsidRDefault="00927BA2">
      <w:r>
        <w:rPr>
          <w:lang w:eastAsia="da-DK"/>
        </w:rPr>
        <w:t xml:space="preserve">The Royal Danish Embassy in Kampala has been advised to include specific funding for implementing partners in support of strategic objective </w:t>
      </w:r>
      <w:r w:rsidR="00F67260">
        <w:rPr>
          <w:lang w:eastAsia="da-DK"/>
        </w:rPr>
        <w:t>2</w:t>
      </w:r>
      <w:r w:rsidR="007E25A0">
        <w:rPr>
          <w:lang w:eastAsia="da-DK"/>
        </w:rPr>
        <w:t xml:space="preserve">. </w:t>
      </w:r>
      <w:r w:rsidR="0088763F">
        <w:rPr>
          <w:lang w:eastAsia="da-DK"/>
        </w:rPr>
        <w:t>P</w:t>
      </w:r>
      <w:r w:rsidR="000B080E">
        <w:rPr>
          <w:lang w:eastAsia="da-DK"/>
        </w:rPr>
        <w:t>romot</w:t>
      </w:r>
      <w:r w:rsidR="0088763F">
        <w:rPr>
          <w:lang w:eastAsia="da-DK"/>
        </w:rPr>
        <w:t>ing</w:t>
      </w:r>
      <w:r w:rsidR="000B080E">
        <w:rPr>
          <w:lang w:eastAsia="da-DK"/>
        </w:rPr>
        <w:t xml:space="preserve"> innovative local solutions </w:t>
      </w:r>
      <w:r w:rsidR="00FD02B6">
        <w:rPr>
          <w:lang w:eastAsia="da-DK"/>
        </w:rPr>
        <w:t>link</w:t>
      </w:r>
      <w:r w:rsidR="0088763F">
        <w:rPr>
          <w:lang w:eastAsia="da-DK"/>
        </w:rPr>
        <w:t xml:space="preserve">ing </w:t>
      </w:r>
      <w:r w:rsidR="00FD02B6">
        <w:rPr>
          <w:lang w:eastAsia="da-DK"/>
        </w:rPr>
        <w:t xml:space="preserve">with Denmark’s experience in green transition </w:t>
      </w:r>
      <w:r w:rsidR="0088763F">
        <w:rPr>
          <w:lang w:eastAsia="da-DK"/>
        </w:rPr>
        <w:t xml:space="preserve">would </w:t>
      </w:r>
      <w:r w:rsidR="00FD02B6">
        <w:rPr>
          <w:lang w:eastAsia="da-DK"/>
        </w:rPr>
        <w:t>support populations as well as private sector actors, district local government and research institutions</w:t>
      </w:r>
      <w:r w:rsidR="0088763F">
        <w:rPr>
          <w:lang w:eastAsia="da-DK"/>
        </w:rPr>
        <w:t xml:space="preserve">. It is an opportunity to support the translation of </w:t>
      </w:r>
      <w:r w:rsidR="00455231">
        <w:rPr>
          <w:lang w:eastAsia="da-DK"/>
        </w:rPr>
        <w:t xml:space="preserve">the </w:t>
      </w:r>
      <w:r w:rsidR="00E16F81">
        <w:rPr>
          <w:lang w:eastAsia="da-DK"/>
        </w:rPr>
        <w:t>extensive policies of the Government of Uganda on climate change adaptation</w:t>
      </w:r>
      <w:r w:rsidR="00ED2ADD">
        <w:rPr>
          <w:lang w:eastAsia="da-DK"/>
        </w:rPr>
        <w:t xml:space="preserve"> and mitigation</w:t>
      </w:r>
      <w:r w:rsidR="00E16F81">
        <w:rPr>
          <w:lang w:eastAsia="da-DK"/>
        </w:rPr>
        <w:t xml:space="preserve"> into </w:t>
      </w:r>
      <w:r w:rsidR="008703EA">
        <w:rPr>
          <w:lang w:eastAsia="da-DK"/>
        </w:rPr>
        <w:t>real-life tested approach</w:t>
      </w:r>
      <w:r w:rsidR="00455231">
        <w:rPr>
          <w:lang w:eastAsia="da-DK"/>
        </w:rPr>
        <w:t>es</w:t>
      </w:r>
      <w:r w:rsidR="008703EA">
        <w:rPr>
          <w:lang w:eastAsia="da-DK"/>
        </w:rPr>
        <w:t xml:space="preserve"> that could be promoted across the country</w:t>
      </w:r>
      <w:r w:rsidR="00ED2ADD">
        <w:rPr>
          <w:lang w:eastAsia="da-DK"/>
        </w:rPr>
        <w:t xml:space="preserve">. </w:t>
      </w:r>
      <w:r w:rsidR="00EC324C">
        <w:rPr>
          <w:lang w:eastAsia="da-DK"/>
        </w:rPr>
        <w:t xml:space="preserve">Investing in new innovative approaches implemented with a strong evidence-base would </w:t>
      </w:r>
      <w:r w:rsidR="00E42F16">
        <w:rPr>
          <w:lang w:eastAsia="da-DK"/>
        </w:rPr>
        <w:t xml:space="preserve">support the ambition of </w:t>
      </w:r>
      <w:r w:rsidR="00275996">
        <w:rPr>
          <w:lang w:eastAsia="da-DK"/>
        </w:rPr>
        <w:t xml:space="preserve">Denmark’s strategy for development cooperation “The world we share” to </w:t>
      </w:r>
      <w:r w:rsidR="00E00919" w:rsidRPr="00E00919">
        <w:rPr>
          <w:i/>
          <w:iCs/>
          <w:lang w:eastAsia="da-DK"/>
        </w:rPr>
        <w:t>lead the fight to stop climate change and restore the balance to the planet.</w:t>
      </w:r>
      <w:r w:rsidR="00E42F16" w:rsidRPr="00E00919">
        <w:rPr>
          <w:i/>
          <w:iCs/>
          <w:lang w:eastAsia="da-DK"/>
        </w:rPr>
        <w:t xml:space="preserve"> </w:t>
      </w:r>
    </w:p>
    <w:p w14:paraId="5119ED36" w14:textId="77777777" w:rsidR="006D5BD4" w:rsidRDefault="006D5BD4" w:rsidP="004D4F11">
      <w:pPr>
        <w:rPr>
          <w:szCs w:val="24"/>
        </w:rPr>
      </w:pPr>
    </w:p>
    <w:sectPr w:rsidR="006D5BD4" w:rsidSect="00880E62">
      <w:headerReference w:type="default" r:id="rId12"/>
      <w:footerReference w:type="default" r:id="rId13"/>
      <w:pgSz w:w="11906" w:h="16838"/>
      <w:pgMar w:top="2098" w:right="851" w:bottom="170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261C6" w14:textId="77777777" w:rsidR="00B8645B" w:rsidRDefault="00B8645B" w:rsidP="00EA5062">
      <w:pPr>
        <w:spacing w:after="0" w:line="240" w:lineRule="auto"/>
      </w:pPr>
      <w:r>
        <w:separator/>
      </w:r>
    </w:p>
  </w:endnote>
  <w:endnote w:type="continuationSeparator" w:id="0">
    <w:p w14:paraId="1A65499F" w14:textId="77777777" w:rsidR="00B8645B" w:rsidRDefault="00B8645B" w:rsidP="00EA5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ato-Regular">
    <w:altName w:val="Segoe U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8180303"/>
      <w:docPartObj>
        <w:docPartGallery w:val="Page Numbers (Bottom of Page)"/>
        <w:docPartUnique/>
      </w:docPartObj>
    </w:sdtPr>
    <w:sdtEndPr>
      <w:rPr>
        <w:noProof/>
      </w:rPr>
    </w:sdtEndPr>
    <w:sdtContent>
      <w:sdt>
        <w:sdtPr>
          <w:id w:val="78564651"/>
          <w:docPartObj>
            <w:docPartGallery w:val="Page Numbers (Bottom of Page)"/>
            <w:docPartUnique/>
          </w:docPartObj>
        </w:sdtPr>
        <w:sdtEndPr>
          <w:rPr>
            <w:b/>
            <w:noProof/>
          </w:rPr>
        </w:sdtEndPr>
        <w:sdtContent>
          <w:p w14:paraId="4E3B6D8C" w14:textId="4A6AA42C" w:rsidR="00204A99" w:rsidRPr="00204A99" w:rsidRDefault="00204A99" w:rsidP="00204A99">
            <w:pPr>
              <w:pStyle w:val="Footer"/>
              <w:rPr>
                <w:b/>
                <w:noProof/>
              </w:rPr>
            </w:pPr>
            <w:r>
              <w:tab/>
            </w:r>
            <w:r>
              <w:tab/>
              <w:t xml:space="preserve"> </w:t>
            </w:r>
            <w:r w:rsidRPr="00C64FCE">
              <w:t>TANA</w:t>
            </w:r>
            <w:r>
              <w:t xml:space="preserve"> COPENHAGEN</w:t>
            </w:r>
            <w:r w:rsidRPr="00C64FCE">
              <w:rPr>
                <w:b/>
                <w:color w:val="009999"/>
              </w:rPr>
              <w:t xml:space="preserve">  /</w:t>
            </w:r>
            <w:r w:rsidRPr="00C64FCE">
              <w:t xml:space="preserve"> </w:t>
            </w:r>
            <w:r w:rsidRPr="00347BC3">
              <w:rPr>
                <w:rFonts w:ascii="Calibri Light" w:hAnsi="Calibri Light"/>
              </w:rPr>
              <w:t xml:space="preserve">      </w:t>
            </w:r>
            <w:r w:rsidRPr="00347BC3">
              <w:t xml:space="preserve">            </w:t>
            </w:r>
            <w:r w:rsidRPr="00347BC3">
              <w:rPr>
                <w:b/>
              </w:rPr>
              <w:fldChar w:fldCharType="begin"/>
            </w:r>
            <w:r w:rsidRPr="00347BC3">
              <w:rPr>
                <w:b/>
              </w:rPr>
              <w:instrText xml:space="preserve"> PAGE   \* MERGEFORMAT </w:instrText>
            </w:r>
            <w:r w:rsidRPr="00347BC3">
              <w:rPr>
                <w:b/>
              </w:rPr>
              <w:fldChar w:fldCharType="separate"/>
            </w:r>
            <w:r>
              <w:rPr>
                <w:b/>
              </w:rPr>
              <w:t>9</w:t>
            </w:r>
            <w:r w:rsidRPr="00347BC3">
              <w:rPr>
                <w:b/>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6B9C" w14:textId="77777777" w:rsidR="00B8645B" w:rsidRDefault="00B8645B" w:rsidP="00EA5062">
      <w:pPr>
        <w:spacing w:after="0" w:line="240" w:lineRule="auto"/>
      </w:pPr>
      <w:r>
        <w:separator/>
      </w:r>
    </w:p>
  </w:footnote>
  <w:footnote w:type="continuationSeparator" w:id="0">
    <w:p w14:paraId="2F4B94BC" w14:textId="77777777" w:rsidR="00B8645B" w:rsidRDefault="00B8645B" w:rsidP="00EA5062">
      <w:pPr>
        <w:spacing w:after="0" w:line="240" w:lineRule="auto"/>
      </w:pPr>
      <w:r>
        <w:continuationSeparator/>
      </w:r>
    </w:p>
  </w:footnote>
  <w:footnote w:id="1">
    <w:p w14:paraId="3C24CE10" w14:textId="7C14144E" w:rsidR="00B74C1F" w:rsidRPr="00B74C1F" w:rsidRDefault="00B74C1F">
      <w:pPr>
        <w:pStyle w:val="FootnoteText"/>
      </w:pPr>
      <w:r>
        <w:rPr>
          <w:rStyle w:val="FootnoteReference"/>
        </w:rPr>
        <w:footnoteRef/>
      </w:r>
      <w:r>
        <w:t xml:space="preserve"> UNCHR Operational Update, June 2022. </w:t>
      </w:r>
    </w:p>
  </w:footnote>
  <w:footnote w:id="2">
    <w:p w14:paraId="2DF939FA" w14:textId="037E97D0" w:rsidR="00DC78AA" w:rsidRPr="00DC78AA" w:rsidRDefault="00DC78AA">
      <w:pPr>
        <w:pStyle w:val="FootnoteText"/>
      </w:pPr>
      <w:r>
        <w:rPr>
          <w:rStyle w:val="FootnoteReference"/>
        </w:rPr>
        <w:footnoteRef/>
      </w:r>
      <w:r>
        <w:t xml:space="preserve"> </w:t>
      </w:r>
      <w:proofErr w:type="spellStart"/>
      <w:r w:rsidRPr="00AF577D">
        <w:t>Adjumani</w:t>
      </w:r>
      <w:proofErr w:type="spellEnd"/>
      <w:r w:rsidRPr="00AF577D">
        <w:t xml:space="preserve">, </w:t>
      </w:r>
      <w:proofErr w:type="spellStart"/>
      <w:r w:rsidRPr="00AF577D">
        <w:t>Arua</w:t>
      </w:r>
      <w:proofErr w:type="spellEnd"/>
      <w:r w:rsidRPr="00AF577D">
        <w:t xml:space="preserve">, </w:t>
      </w:r>
      <w:proofErr w:type="spellStart"/>
      <w:r w:rsidRPr="00AF577D">
        <w:t>Koboko</w:t>
      </w:r>
      <w:proofErr w:type="spellEnd"/>
      <w:r w:rsidRPr="00AF577D">
        <w:t xml:space="preserve">, Hoima, Isingiro, Kampala, </w:t>
      </w:r>
      <w:proofErr w:type="spellStart"/>
      <w:r w:rsidRPr="00AF577D">
        <w:t>Kamwenge</w:t>
      </w:r>
      <w:proofErr w:type="spellEnd"/>
      <w:r w:rsidRPr="00AF577D">
        <w:t xml:space="preserve">, </w:t>
      </w:r>
      <w:proofErr w:type="spellStart"/>
      <w:r w:rsidRPr="00AF577D">
        <w:t>Kiryandongo</w:t>
      </w:r>
      <w:proofErr w:type="spellEnd"/>
      <w:r w:rsidRPr="00AF577D">
        <w:t xml:space="preserve">, Kyegegwa, </w:t>
      </w:r>
      <w:proofErr w:type="spellStart"/>
      <w:r w:rsidRPr="00AF577D">
        <w:t>Lamwo</w:t>
      </w:r>
      <w:proofErr w:type="spellEnd"/>
      <w:r w:rsidRPr="00AF577D">
        <w:t xml:space="preserve">, Moyo, </w:t>
      </w:r>
      <w:proofErr w:type="spellStart"/>
      <w:r w:rsidRPr="00AF577D">
        <w:t>Yumbe</w:t>
      </w:r>
      <w:proofErr w:type="spellEnd"/>
    </w:p>
  </w:footnote>
  <w:footnote w:id="3">
    <w:p w14:paraId="5611538E" w14:textId="68C3DF1C" w:rsidR="005C0687" w:rsidRPr="005C0687" w:rsidRDefault="005C0687">
      <w:pPr>
        <w:pStyle w:val="FootnoteText"/>
      </w:pPr>
      <w:r>
        <w:rPr>
          <w:rStyle w:val="FootnoteReference"/>
        </w:rPr>
        <w:footnoteRef/>
      </w:r>
      <w:r>
        <w:t xml:space="preserve"> </w:t>
      </w:r>
      <w:r w:rsidR="00527032">
        <w:t>Office of Prime Minister, Settlement Transformative Agenda II, Draft January 2022</w:t>
      </w:r>
    </w:p>
  </w:footnote>
  <w:footnote w:id="4">
    <w:p w14:paraId="7C74CA95" w14:textId="77777777" w:rsidR="00C36EDB" w:rsidRPr="001C3B79" w:rsidRDefault="00C36EDB" w:rsidP="00C36EDB">
      <w:pPr>
        <w:pStyle w:val="FootnoteText"/>
      </w:pPr>
      <w:r>
        <w:rPr>
          <w:rStyle w:val="FootnoteReference"/>
        </w:rPr>
        <w:footnoteRef/>
      </w:r>
      <w:r>
        <w:t xml:space="preserve"> </w:t>
      </w:r>
      <w:r w:rsidRPr="001C3B79">
        <w:rPr>
          <w:sz w:val="18"/>
          <w:szCs w:val="18"/>
        </w:rPr>
        <w:t>CRRF, Report on the evaluation of the implementation of the GC, March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31A63" w14:textId="4B4DCBD0" w:rsidR="00C8682D" w:rsidRDefault="00C8682D">
    <w:pPr>
      <w:pStyle w:val="Header"/>
    </w:pPr>
    <w:r>
      <w:rPr>
        <w:noProof/>
        <w:lang w:val="da-DK" w:eastAsia="da-DK" w:bidi="ar-SA"/>
      </w:rPr>
      <w:drawing>
        <wp:anchor distT="0" distB="0" distL="114300" distR="114300" simplePos="0" relativeHeight="251659264" behindDoc="0" locked="0" layoutInCell="1" allowOverlap="1" wp14:anchorId="0290D0FE" wp14:editId="08AE5F5E">
          <wp:simplePos x="0" y="0"/>
          <wp:positionH relativeFrom="column">
            <wp:posOffset>0</wp:posOffset>
          </wp:positionH>
          <wp:positionV relativeFrom="page">
            <wp:posOffset>449580</wp:posOffset>
          </wp:positionV>
          <wp:extent cx="615600" cy="280800"/>
          <wp:effectExtent l="0" t="0" r="0" b="0"/>
          <wp:wrapNone/>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Tana_forside_rapport.ai"/>
                  <pic:cNvPicPr/>
                </pic:nvPicPr>
                <pic:blipFill>
                  <a:blip r:embed="rId1">
                    <a:extLst>
                      <a:ext uri="{28A0092B-C50C-407E-A947-70E740481C1C}">
                        <a14:useLocalDpi xmlns:a14="http://schemas.microsoft.com/office/drawing/2010/main" val="0"/>
                      </a:ext>
                    </a:extLst>
                  </a:blip>
                  <a:stretch>
                    <a:fillRect/>
                  </a:stretch>
                </pic:blipFill>
                <pic:spPr>
                  <a:xfrm>
                    <a:off x="0" y="0"/>
                    <a:ext cx="615600" cy="280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08DA"/>
    <w:multiLevelType w:val="hybridMultilevel"/>
    <w:tmpl w:val="DCBCC5B2"/>
    <w:lvl w:ilvl="0" w:tplc="C94E376A">
      <w:start w:val="1"/>
      <w:numFmt w:val="bullet"/>
      <w:lvlText w:val=""/>
      <w:lvlJc w:val="left"/>
      <w:pPr>
        <w:ind w:left="454" w:hanging="284"/>
      </w:pPr>
      <w:rPr>
        <w:rFonts w:ascii="Symbol" w:hAnsi="Symbol" w:hint="default"/>
        <w:color w:val="009999"/>
      </w:rPr>
    </w:lvl>
    <w:lvl w:ilvl="1" w:tplc="6BB6C554">
      <w:start w:val="536"/>
      <w:numFmt w:val="bullet"/>
      <w:lvlText w:val="-"/>
      <w:lvlJc w:val="left"/>
      <w:pPr>
        <w:ind w:left="1440" w:hanging="360"/>
      </w:pPr>
      <w:rPr>
        <w:rFonts w:ascii="Trebuchet MS" w:eastAsiaTheme="minorEastAsia" w:hAnsi="Trebuchet MS" w:cstheme="minorBidi"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7F466FE"/>
    <w:multiLevelType w:val="multilevel"/>
    <w:tmpl w:val="D4E63A70"/>
    <w:lvl w:ilvl="0">
      <w:start w:val="1"/>
      <w:numFmt w:val="decimal"/>
      <w:pStyle w:val="Heading1"/>
      <w:lvlText w:val="%1"/>
      <w:lvlJc w:val="left"/>
      <w:pPr>
        <w:ind w:left="737" w:hanging="73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F000018"/>
    <w:multiLevelType w:val="hybridMultilevel"/>
    <w:tmpl w:val="5527992C"/>
    <w:lvl w:ilvl="0" w:tplc="08B080F4">
      <w:start w:val="1"/>
      <w:numFmt w:val="decimal"/>
      <w:lvlText w:val="%1."/>
      <w:lvlJc w:val="left"/>
      <w:pPr>
        <w:ind w:left="720" w:hanging="360"/>
      </w:pPr>
      <w:rPr>
        <w:b w:val="0"/>
        <w:i w:val="0"/>
      </w:rPr>
    </w:lvl>
    <w:lvl w:ilvl="1" w:tplc="B3B0FC38">
      <w:start w:val="1"/>
      <w:numFmt w:val="lowerLetter"/>
      <w:lvlText w:val="%2."/>
      <w:lvlJc w:val="left"/>
      <w:pPr>
        <w:ind w:left="1440" w:hanging="360"/>
      </w:pPr>
    </w:lvl>
    <w:lvl w:ilvl="2" w:tplc="96FCBD18">
      <w:start w:val="1"/>
      <w:numFmt w:val="lowerRoman"/>
      <w:lvlText w:val="%3."/>
      <w:lvlJc w:val="right"/>
      <w:pPr>
        <w:ind w:left="2160" w:hanging="180"/>
      </w:pPr>
    </w:lvl>
    <w:lvl w:ilvl="3" w:tplc="B8227684">
      <w:start w:val="1"/>
      <w:numFmt w:val="decimal"/>
      <w:lvlText w:val="%4."/>
      <w:lvlJc w:val="left"/>
      <w:pPr>
        <w:ind w:left="2880" w:hanging="360"/>
      </w:pPr>
    </w:lvl>
    <w:lvl w:ilvl="4" w:tplc="3F46B3BE">
      <w:start w:val="1"/>
      <w:numFmt w:val="lowerLetter"/>
      <w:lvlText w:val="%5."/>
      <w:lvlJc w:val="left"/>
      <w:pPr>
        <w:ind w:left="3600" w:hanging="360"/>
      </w:pPr>
    </w:lvl>
    <w:lvl w:ilvl="5" w:tplc="249CC7FE">
      <w:start w:val="1"/>
      <w:numFmt w:val="lowerRoman"/>
      <w:lvlText w:val="%6."/>
      <w:lvlJc w:val="right"/>
      <w:pPr>
        <w:ind w:left="4320" w:hanging="180"/>
      </w:pPr>
    </w:lvl>
    <w:lvl w:ilvl="6" w:tplc="F57663B0">
      <w:start w:val="1"/>
      <w:numFmt w:val="decimal"/>
      <w:lvlText w:val="%7."/>
      <w:lvlJc w:val="left"/>
      <w:pPr>
        <w:ind w:left="5040" w:hanging="360"/>
      </w:pPr>
    </w:lvl>
    <w:lvl w:ilvl="7" w:tplc="E7D8D43E">
      <w:start w:val="1"/>
      <w:numFmt w:val="lowerLetter"/>
      <w:lvlText w:val="%8."/>
      <w:lvlJc w:val="left"/>
      <w:pPr>
        <w:ind w:left="5760" w:hanging="360"/>
      </w:pPr>
    </w:lvl>
    <w:lvl w:ilvl="8" w:tplc="E1CAAFC2">
      <w:start w:val="1"/>
      <w:numFmt w:val="lowerRoman"/>
      <w:lvlText w:val="%9."/>
      <w:lvlJc w:val="right"/>
      <w:pPr>
        <w:ind w:left="6480" w:hanging="180"/>
      </w:pPr>
    </w:lvl>
  </w:abstractNum>
  <w:num w:numId="1" w16cid:durableId="2072728223">
    <w:abstractNumId w:val="1"/>
  </w:num>
  <w:num w:numId="2" w16cid:durableId="2096976481">
    <w:abstractNumId w:val="1"/>
  </w:num>
  <w:num w:numId="3" w16cid:durableId="1946691500">
    <w:abstractNumId w:val="1"/>
  </w:num>
  <w:num w:numId="4" w16cid:durableId="1767730143">
    <w:abstractNumId w:val="0"/>
  </w:num>
  <w:num w:numId="5" w16cid:durableId="438335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62"/>
    <w:rsid w:val="00021E9C"/>
    <w:rsid w:val="00030D88"/>
    <w:rsid w:val="0004346B"/>
    <w:rsid w:val="00047828"/>
    <w:rsid w:val="0005071C"/>
    <w:rsid w:val="00064951"/>
    <w:rsid w:val="000745AF"/>
    <w:rsid w:val="00097EAE"/>
    <w:rsid w:val="000A74A0"/>
    <w:rsid w:val="000B080E"/>
    <w:rsid w:val="000C6F03"/>
    <w:rsid w:val="000E65BC"/>
    <w:rsid w:val="000F6F44"/>
    <w:rsid w:val="00116CBA"/>
    <w:rsid w:val="00116ED0"/>
    <w:rsid w:val="00134E33"/>
    <w:rsid w:val="00141673"/>
    <w:rsid w:val="001430D8"/>
    <w:rsid w:val="00171717"/>
    <w:rsid w:val="0017503C"/>
    <w:rsid w:val="001879EF"/>
    <w:rsid w:val="001A3283"/>
    <w:rsid w:val="001A77BB"/>
    <w:rsid w:val="001D21A9"/>
    <w:rsid w:val="00204A99"/>
    <w:rsid w:val="00212CDC"/>
    <w:rsid w:val="00216F98"/>
    <w:rsid w:val="002204E0"/>
    <w:rsid w:val="00221758"/>
    <w:rsid w:val="00233065"/>
    <w:rsid w:val="00243653"/>
    <w:rsid w:val="00253664"/>
    <w:rsid w:val="00264613"/>
    <w:rsid w:val="00275996"/>
    <w:rsid w:val="00284A06"/>
    <w:rsid w:val="0028657A"/>
    <w:rsid w:val="002A1E33"/>
    <w:rsid w:val="002A3DFF"/>
    <w:rsid w:val="002B3857"/>
    <w:rsid w:val="002E1744"/>
    <w:rsid w:val="002E79EE"/>
    <w:rsid w:val="002F3E68"/>
    <w:rsid w:val="002F4C9F"/>
    <w:rsid w:val="003059B2"/>
    <w:rsid w:val="00312C86"/>
    <w:rsid w:val="0034374C"/>
    <w:rsid w:val="00354158"/>
    <w:rsid w:val="00360F34"/>
    <w:rsid w:val="00394DE3"/>
    <w:rsid w:val="003956BB"/>
    <w:rsid w:val="003D750C"/>
    <w:rsid w:val="003F42B2"/>
    <w:rsid w:val="004137E8"/>
    <w:rsid w:val="00434D63"/>
    <w:rsid w:val="00455231"/>
    <w:rsid w:val="004606FB"/>
    <w:rsid w:val="00461DEF"/>
    <w:rsid w:val="004762A3"/>
    <w:rsid w:val="004D4F11"/>
    <w:rsid w:val="004D7010"/>
    <w:rsid w:val="004F3206"/>
    <w:rsid w:val="004F4AB4"/>
    <w:rsid w:val="005016AC"/>
    <w:rsid w:val="00527032"/>
    <w:rsid w:val="005338AB"/>
    <w:rsid w:val="005365F4"/>
    <w:rsid w:val="005401A5"/>
    <w:rsid w:val="005553DE"/>
    <w:rsid w:val="005657FC"/>
    <w:rsid w:val="00590754"/>
    <w:rsid w:val="005A146E"/>
    <w:rsid w:val="005A52A9"/>
    <w:rsid w:val="005C0687"/>
    <w:rsid w:val="005C2B45"/>
    <w:rsid w:val="005C7C93"/>
    <w:rsid w:val="005E071D"/>
    <w:rsid w:val="005E1557"/>
    <w:rsid w:val="005F54CE"/>
    <w:rsid w:val="00611894"/>
    <w:rsid w:val="00630317"/>
    <w:rsid w:val="00636B36"/>
    <w:rsid w:val="00644761"/>
    <w:rsid w:val="0065078F"/>
    <w:rsid w:val="00654768"/>
    <w:rsid w:val="00687F75"/>
    <w:rsid w:val="00693497"/>
    <w:rsid w:val="00694FFA"/>
    <w:rsid w:val="006B080F"/>
    <w:rsid w:val="006B6F33"/>
    <w:rsid w:val="006D5BD4"/>
    <w:rsid w:val="0074223D"/>
    <w:rsid w:val="007769B2"/>
    <w:rsid w:val="00783B09"/>
    <w:rsid w:val="007845C2"/>
    <w:rsid w:val="00794FDB"/>
    <w:rsid w:val="007A1BF1"/>
    <w:rsid w:val="007E25A0"/>
    <w:rsid w:val="007E3814"/>
    <w:rsid w:val="007E594D"/>
    <w:rsid w:val="007E733D"/>
    <w:rsid w:val="008011BB"/>
    <w:rsid w:val="00820FB5"/>
    <w:rsid w:val="0086384D"/>
    <w:rsid w:val="008703EA"/>
    <w:rsid w:val="00873857"/>
    <w:rsid w:val="00877131"/>
    <w:rsid w:val="00880E62"/>
    <w:rsid w:val="008823B7"/>
    <w:rsid w:val="00883C23"/>
    <w:rsid w:val="008849F1"/>
    <w:rsid w:val="0088763F"/>
    <w:rsid w:val="008901DE"/>
    <w:rsid w:val="0089461E"/>
    <w:rsid w:val="008B3E53"/>
    <w:rsid w:val="008B7808"/>
    <w:rsid w:val="008E5C33"/>
    <w:rsid w:val="008F313A"/>
    <w:rsid w:val="009241D2"/>
    <w:rsid w:val="00927BA2"/>
    <w:rsid w:val="00967B48"/>
    <w:rsid w:val="00982F6D"/>
    <w:rsid w:val="009E14A4"/>
    <w:rsid w:val="009E1AD0"/>
    <w:rsid w:val="009E48BB"/>
    <w:rsid w:val="00A025D4"/>
    <w:rsid w:val="00A04527"/>
    <w:rsid w:val="00A159D3"/>
    <w:rsid w:val="00A26EA5"/>
    <w:rsid w:val="00A41BFF"/>
    <w:rsid w:val="00A623E0"/>
    <w:rsid w:val="00A76CB7"/>
    <w:rsid w:val="00A93A39"/>
    <w:rsid w:val="00A95E5B"/>
    <w:rsid w:val="00AF577D"/>
    <w:rsid w:val="00B02D24"/>
    <w:rsid w:val="00B15092"/>
    <w:rsid w:val="00B1681F"/>
    <w:rsid w:val="00B23451"/>
    <w:rsid w:val="00B35256"/>
    <w:rsid w:val="00B3695C"/>
    <w:rsid w:val="00B53729"/>
    <w:rsid w:val="00B53B02"/>
    <w:rsid w:val="00B649B8"/>
    <w:rsid w:val="00B74C1F"/>
    <w:rsid w:val="00B8645B"/>
    <w:rsid w:val="00B96759"/>
    <w:rsid w:val="00BA2178"/>
    <w:rsid w:val="00BB24BB"/>
    <w:rsid w:val="00BC16BA"/>
    <w:rsid w:val="00BC27EE"/>
    <w:rsid w:val="00BC5C79"/>
    <w:rsid w:val="00BE081D"/>
    <w:rsid w:val="00BF69EA"/>
    <w:rsid w:val="00C02C99"/>
    <w:rsid w:val="00C051F3"/>
    <w:rsid w:val="00C24346"/>
    <w:rsid w:val="00C269A3"/>
    <w:rsid w:val="00C311B3"/>
    <w:rsid w:val="00C31BAB"/>
    <w:rsid w:val="00C32935"/>
    <w:rsid w:val="00C36EDB"/>
    <w:rsid w:val="00C54AEE"/>
    <w:rsid w:val="00C55780"/>
    <w:rsid w:val="00C72ECF"/>
    <w:rsid w:val="00C8682D"/>
    <w:rsid w:val="00C901C6"/>
    <w:rsid w:val="00C91972"/>
    <w:rsid w:val="00CA516F"/>
    <w:rsid w:val="00CC1B16"/>
    <w:rsid w:val="00CE512D"/>
    <w:rsid w:val="00D07935"/>
    <w:rsid w:val="00D56384"/>
    <w:rsid w:val="00D61CD3"/>
    <w:rsid w:val="00DB33CE"/>
    <w:rsid w:val="00DB7149"/>
    <w:rsid w:val="00DC4961"/>
    <w:rsid w:val="00DC78AA"/>
    <w:rsid w:val="00DD63DE"/>
    <w:rsid w:val="00DD682C"/>
    <w:rsid w:val="00DE772F"/>
    <w:rsid w:val="00E00919"/>
    <w:rsid w:val="00E04A32"/>
    <w:rsid w:val="00E1061B"/>
    <w:rsid w:val="00E16F81"/>
    <w:rsid w:val="00E42F16"/>
    <w:rsid w:val="00E50E99"/>
    <w:rsid w:val="00EA01A9"/>
    <w:rsid w:val="00EA4D18"/>
    <w:rsid w:val="00EA5062"/>
    <w:rsid w:val="00EB214B"/>
    <w:rsid w:val="00EB6BAA"/>
    <w:rsid w:val="00EC2FBA"/>
    <w:rsid w:val="00EC324C"/>
    <w:rsid w:val="00EC5B4F"/>
    <w:rsid w:val="00ED2ADD"/>
    <w:rsid w:val="00F10A0F"/>
    <w:rsid w:val="00F11953"/>
    <w:rsid w:val="00F1237A"/>
    <w:rsid w:val="00F251B5"/>
    <w:rsid w:val="00F277B9"/>
    <w:rsid w:val="00F41DF7"/>
    <w:rsid w:val="00F42E5F"/>
    <w:rsid w:val="00F51D1D"/>
    <w:rsid w:val="00F62AFE"/>
    <w:rsid w:val="00F67260"/>
    <w:rsid w:val="00F76033"/>
    <w:rsid w:val="00F9074B"/>
    <w:rsid w:val="00FA55B7"/>
    <w:rsid w:val="00FB2ACE"/>
    <w:rsid w:val="00FD02B6"/>
    <w:rsid w:val="00FE3F31"/>
    <w:rsid w:val="00FF0E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2ACC4"/>
  <w15:chartTrackingRefBased/>
  <w15:docId w15:val="{26A29962-87DE-422F-84CA-322AB2AE2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1_Brødtekst"/>
    <w:qFormat/>
    <w:rsid w:val="00DD63DE"/>
    <w:pPr>
      <w:widowControl w:val="0"/>
      <w:autoSpaceDE w:val="0"/>
      <w:autoSpaceDN w:val="0"/>
      <w:spacing w:line="260" w:lineRule="exact"/>
      <w:jc w:val="both"/>
    </w:pPr>
    <w:rPr>
      <w:rFonts w:ascii="Calibri" w:eastAsia="Cambria" w:hAnsi="Calibri" w:cs="Cambria"/>
      <w:color w:val="000000" w:themeColor="text1"/>
      <w:lang w:eastAsia="en-GB" w:bidi="en-GB"/>
    </w:rPr>
  </w:style>
  <w:style w:type="paragraph" w:styleId="Heading1">
    <w:name w:val="heading 1"/>
    <w:basedOn w:val="Normal"/>
    <w:next w:val="Normal"/>
    <w:link w:val="Heading1Char"/>
    <w:uiPriority w:val="9"/>
    <w:qFormat/>
    <w:rsid w:val="00873857"/>
    <w:pPr>
      <w:keepNext/>
      <w:keepLines/>
      <w:numPr>
        <w:numId w:val="3"/>
      </w:numPr>
      <w:spacing w:after="500" w:line="480" w:lineRule="exact"/>
      <w:outlineLvl w:val="0"/>
    </w:pPr>
    <w:rPr>
      <w:rFonts w:eastAsiaTheme="majorEastAsia" w:cstheme="majorBidi"/>
      <w:b/>
      <w:bCs/>
      <w:caps/>
      <w:color w:val="009999"/>
      <w:sz w:val="44"/>
      <w:szCs w:val="28"/>
    </w:rPr>
  </w:style>
  <w:style w:type="paragraph" w:styleId="Heading2">
    <w:name w:val="heading 2"/>
    <w:basedOn w:val="Normal"/>
    <w:next w:val="Normal"/>
    <w:link w:val="Heading2Char"/>
    <w:uiPriority w:val="9"/>
    <w:unhideWhenUsed/>
    <w:qFormat/>
    <w:rsid w:val="00141673"/>
    <w:pPr>
      <w:tabs>
        <w:tab w:val="left" w:pos="284"/>
        <w:tab w:val="left" w:pos="851"/>
      </w:tabs>
      <w:spacing w:before="360" w:after="40"/>
      <w:outlineLvl w:val="1"/>
    </w:pPr>
    <w:rPr>
      <w:rFonts w:eastAsiaTheme="majorEastAsia" w:cstheme="majorBidi"/>
      <w:b/>
      <w:bCs/>
      <w:caps/>
      <w:color w:val="009999"/>
      <w:sz w:val="26"/>
      <w:szCs w:val="28"/>
      <w:lang w:eastAsia="da-DK"/>
    </w:rPr>
  </w:style>
  <w:style w:type="paragraph" w:styleId="Heading3">
    <w:name w:val="heading 3"/>
    <w:basedOn w:val="Normal"/>
    <w:next w:val="Normal"/>
    <w:link w:val="Heading3Char"/>
    <w:uiPriority w:val="9"/>
    <w:unhideWhenUsed/>
    <w:qFormat/>
    <w:rsid w:val="00873857"/>
    <w:pPr>
      <w:keepNext/>
      <w:keepLines/>
      <w:spacing w:before="360" w:after="40"/>
      <w:outlineLvl w:val="2"/>
    </w:pPr>
    <w:rPr>
      <w:rFonts w:asciiTheme="majorHAnsi" w:eastAsiaTheme="majorEastAsia" w:hAnsiTheme="majorHAnsi" w:cstheme="majorBidi"/>
      <w:b/>
      <w:bCs/>
      <w:caps/>
      <w:color w:val="00999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73857"/>
    <w:rPr>
      <w:rFonts w:asciiTheme="majorHAnsi" w:eastAsiaTheme="majorEastAsia" w:hAnsiTheme="majorHAnsi" w:cstheme="majorBidi"/>
      <w:b/>
      <w:bCs/>
      <w:caps/>
      <w:color w:val="009999"/>
      <w:sz w:val="26"/>
      <w:lang w:eastAsia="en-GB" w:bidi="en-GB"/>
    </w:rPr>
  </w:style>
  <w:style w:type="paragraph" w:customStyle="1" w:styleId="Default">
    <w:name w:val="Default"/>
    <w:rsid w:val="00EA5062"/>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next w:val="NoSpacing"/>
    <w:link w:val="FootnoteTextChar"/>
    <w:uiPriority w:val="99"/>
    <w:unhideWhenUsed/>
    <w:qFormat/>
    <w:rsid w:val="00873857"/>
    <w:pPr>
      <w:tabs>
        <w:tab w:val="left" w:pos="567"/>
        <w:tab w:val="left" w:pos="737"/>
        <w:tab w:val="left" w:pos="1134"/>
        <w:tab w:val="left" w:pos="1701"/>
        <w:tab w:val="left" w:pos="2268"/>
        <w:tab w:val="left" w:pos="2835"/>
        <w:tab w:val="left" w:pos="3402"/>
      </w:tabs>
      <w:spacing w:after="0" w:line="240" w:lineRule="auto"/>
    </w:pPr>
    <w:rPr>
      <w:sz w:val="15"/>
      <w:szCs w:val="15"/>
    </w:rPr>
  </w:style>
  <w:style w:type="character" w:customStyle="1" w:styleId="FootnoteTextChar">
    <w:name w:val="Footnote Text Char"/>
    <w:basedOn w:val="DefaultParagraphFont"/>
    <w:link w:val="FootnoteText"/>
    <w:uiPriority w:val="99"/>
    <w:rsid w:val="00873857"/>
    <w:rPr>
      <w:rFonts w:ascii="Calibri" w:eastAsia="Cambria" w:hAnsi="Calibri" w:cs="Cambria"/>
      <w:color w:val="000000" w:themeColor="text1"/>
      <w:sz w:val="15"/>
      <w:szCs w:val="15"/>
      <w:lang w:eastAsia="en-GB" w:bidi="en-GB"/>
    </w:rPr>
  </w:style>
  <w:style w:type="character" w:styleId="FootnoteReference">
    <w:name w:val="footnote reference"/>
    <w:basedOn w:val="DefaultParagraphFont"/>
    <w:uiPriority w:val="99"/>
    <w:semiHidden/>
    <w:unhideWhenUsed/>
    <w:rsid w:val="00EA5062"/>
    <w:rPr>
      <w:vertAlign w:val="superscript"/>
    </w:rPr>
  </w:style>
  <w:style w:type="table" w:styleId="TableGrid">
    <w:name w:val="Table Grid"/>
    <w:basedOn w:val="TableNormal"/>
    <w:uiPriority w:val="39"/>
    <w:rsid w:val="00EA5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A5062"/>
    <w:rPr>
      <w:sz w:val="16"/>
      <w:szCs w:val="16"/>
    </w:rPr>
  </w:style>
  <w:style w:type="paragraph" w:styleId="CommentText">
    <w:name w:val="annotation text"/>
    <w:basedOn w:val="Normal"/>
    <w:link w:val="CommentTextChar"/>
    <w:uiPriority w:val="99"/>
    <w:unhideWhenUsed/>
    <w:rsid w:val="00EA5062"/>
    <w:pPr>
      <w:spacing w:line="240" w:lineRule="auto"/>
    </w:pPr>
    <w:rPr>
      <w:sz w:val="20"/>
      <w:szCs w:val="20"/>
    </w:rPr>
  </w:style>
  <w:style w:type="character" w:customStyle="1" w:styleId="CommentTextChar">
    <w:name w:val="Comment Text Char"/>
    <w:basedOn w:val="DefaultParagraphFont"/>
    <w:link w:val="CommentText"/>
    <w:uiPriority w:val="99"/>
    <w:rsid w:val="00EA5062"/>
    <w:rPr>
      <w:sz w:val="20"/>
      <w:szCs w:val="20"/>
    </w:rPr>
  </w:style>
  <w:style w:type="paragraph" w:styleId="CommentSubject">
    <w:name w:val="annotation subject"/>
    <w:basedOn w:val="CommentText"/>
    <w:next w:val="CommentText"/>
    <w:link w:val="CommentSubjectChar"/>
    <w:uiPriority w:val="99"/>
    <w:semiHidden/>
    <w:unhideWhenUsed/>
    <w:rsid w:val="00EA5062"/>
    <w:rPr>
      <w:b/>
      <w:bCs/>
    </w:rPr>
  </w:style>
  <w:style w:type="character" w:customStyle="1" w:styleId="CommentSubjectChar">
    <w:name w:val="Comment Subject Char"/>
    <w:basedOn w:val="CommentTextChar"/>
    <w:link w:val="CommentSubject"/>
    <w:uiPriority w:val="99"/>
    <w:semiHidden/>
    <w:rsid w:val="00EA5062"/>
    <w:rPr>
      <w:b/>
      <w:bCs/>
      <w:sz w:val="20"/>
      <w:szCs w:val="20"/>
    </w:rPr>
  </w:style>
  <w:style w:type="paragraph" w:customStyle="1" w:styleId="00FORSIDEoplg">
    <w:name w:val="00_FORSIDE_oplæg"/>
    <w:autoRedefine/>
    <w:qFormat/>
    <w:rsid w:val="00873857"/>
    <w:pPr>
      <w:keepNext/>
      <w:keepLines/>
      <w:tabs>
        <w:tab w:val="left" w:pos="851"/>
      </w:tabs>
      <w:spacing w:after="60"/>
      <w:ind w:left="851"/>
      <w:jc w:val="right"/>
    </w:pPr>
    <w:rPr>
      <w:rFonts w:ascii="Calibri" w:eastAsiaTheme="majorEastAsia" w:hAnsi="Calibri" w:cstheme="majorBidi"/>
      <w:bCs/>
      <w:caps/>
      <w:noProof/>
      <w:sz w:val="24"/>
      <w:szCs w:val="24"/>
      <w:lang w:val="da-DK" w:eastAsia="da-DK"/>
    </w:rPr>
  </w:style>
  <w:style w:type="paragraph" w:customStyle="1" w:styleId="00ForsideBund">
    <w:name w:val="00_Forside_Bund"/>
    <w:basedOn w:val="00FORSIDEoplg"/>
    <w:qFormat/>
    <w:rsid w:val="00873857"/>
    <w:pPr>
      <w:tabs>
        <w:tab w:val="right" w:pos="9072"/>
      </w:tabs>
      <w:spacing w:after="120"/>
      <w:ind w:left="-1077"/>
    </w:pPr>
    <w:rPr>
      <w:bCs w:val="0"/>
      <w:spacing w:val="6"/>
    </w:rPr>
  </w:style>
  <w:style w:type="paragraph" w:customStyle="1" w:styleId="00forsideclient">
    <w:name w:val="00_forside_client"/>
    <w:qFormat/>
    <w:rsid w:val="00873857"/>
    <w:pPr>
      <w:spacing w:after="200" w:line="276" w:lineRule="auto"/>
      <w:ind w:left="851"/>
    </w:pPr>
    <w:rPr>
      <w:rFonts w:asciiTheme="majorHAnsi" w:eastAsiaTheme="majorEastAsia" w:hAnsiTheme="majorHAnsi" w:cstheme="majorBidi"/>
      <w:noProof/>
      <w:sz w:val="24"/>
      <w:szCs w:val="24"/>
      <w:lang w:val="da-DK" w:eastAsia="da-DK"/>
    </w:rPr>
  </w:style>
  <w:style w:type="paragraph" w:customStyle="1" w:styleId="00forsideoverskrift">
    <w:name w:val="00_forside_overskrift"/>
    <w:basedOn w:val="Normal"/>
    <w:autoRedefine/>
    <w:qFormat/>
    <w:rsid w:val="00873857"/>
    <w:pPr>
      <w:tabs>
        <w:tab w:val="left" w:pos="567"/>
      </w:tabs>
      <w:spacing w:after="0" w:line="540" w:lineRule="exact"/>
      <w:ind w:left="851"/>
    </w:pPr>
    <w:rPr>
      <w:rFonts w:eastAsiaTheme="majorEastAsia" w:cstheme="majorBidi"/>
      <w:b/>
      <w:bCs/>
      <w:caps/>
      <w:spacing w:val="20"/>
      <w:sz w:val="54"/>
      <w:szCs w:val="52"/>
      <w:lang w:val="en-US"/>
    </w:rPr>
  </w:style>
  <w:style w:type="paragraph" w:customStyle="1" w:styleId="00ForsideResponsetoScope">
    <w:name w:val="00_Forside_Response to Scope"/>
    <w:basedOn w:val="Normal"/>
    <w:autoRedefine/>
    <w:qFormat/>
    <w:rsid w:val="00873857"/>
    <w:pPr>
      <w:keepNext/>
      <w:keepLines/>
      <w:tabs>
        <w:tab w:val="left" w:pos="851"/>
        <w:tab w:val="right" w:pos="9072"/>
      </w:tabs>
      <w:spacing w:after="0"/>
      <w:ind w:hanging="567"/>
      <w:jc w:val="center"/>
    </w:pPr>
    <w:rPr>
      <w:rFonts w:eastAsiaTheme="majorEastAsia" w:cstheme="majorBidi"/>
      <w:b/>
      <w:bCs/>
      <w:caps/>
      <w:noProof/>
      <w:spacing w:val="6"/>
      <w:sz w:val="21"/>
      <w:szCs w:val="20"/>
      <w:lang w:val="da-DK" w:eastAsia="da-DK"/>
    </w:rPr>
  </w:style>
  <w:style w:type="paragraph" w:styleId="Footer">
    <w:name w:val="footer"/>
    <w:basedOn w:val="Normal"/>
    <w:link w:val="FooterChar"/>
    <w:uiPriority w:val="99"/>
    <w:unhideWhenUsed/>
    <w:rsid w:val="00873857"/>
    <w:pPr>
      <w:tabs>
        <w:tab w:val="center" w:pos="4819"/>
        <w:tab w:val="right" w:pos="9638"/>
      </w:tabs>
      <w:spacing w:after="0" w:line="240" w:lineRule="exact"/>
      <w:jc w:val="right"/>
    </w:pPr>
    <w:rPr>
      <w:rFonts w:eastAsiaTheme="minorEastAsia"/>
      <w:sz w:val="16"/>
      <w:szCs w:val="16"/>
      <w:lang w:eastAsia="da-DK"/>
    </w:rPr>
  </w:style>
  <w:style w:type="character" w:customStyle="1" w:styleId="FooterChar">
    <w:name w:val="Footer Char"/>
    <w:basedOn w:val="DefaultParagraphFont"/>
    <w:link w:val="Footer"/>
    <w:uiPriority w:val="99"/>
    <w:rsid w:val="00873857"/>
    <w:rPr>
      <w:rFonts w:ascii="Calibri" w:eastAsiaTheme="minorEastAsia" w:hAnsi="Calibri"/>
      <w:color w:val="000000" w:themeColor="text1"/>
      <w:sz w:val="16"/>
      <w:szCs w:val="16"/>
      <w:lang w:eastAsia="da-DK"/>
    </w:rPr>
  </w:style>
  <w:style w:type="paragraph" w:styleId="NoSpacing">
    <w:name w:val="No Spacing"/>
    <w:uiPriority w:val="1"/>
    <w:qFormat/>
    <w:rsid w:val="00873857"/>
    <w:pPr>
      <w:spacing w:after="0" w:line="240" w:lineRule="auto"/>
    </w:pPr>
  </w:style>
  <w:style w:type="character" w:customStyle="1" w:styleId="Heading1Char">
    <w:name w:val="Heading 1 Char"/>
    <w:basedOn w:val="DefaultParagraphFont"/>
    <w:link w:val="Heading1"/>
    <w:uiPriority w:val="9"/>
    <w:rsid w:val="00873857"/>
    <w:rPr>
      <w:rFonts w:ascii="Calibri" w:eastAsiaTheme="majorEastAsia" w:hAnsi="Calibri" w:cstheme="majorBidi"/>
      <w:b/>
      <w:bCs/>
      <w:caps/>
      <w:color w:val="009999"/>
      <w:sz w:val="44"/>
      <w:szCs w:val="28"/>
      <w:lang w:eastAsia="en-GB" w:bidi="en-GB"/>
    </w:rPr>
  </w:style>
  <w:style w:type="character" w:customStyle="1" w:styleId="Heading2Char">
    <w:name w:val="Heading 2 Char"/>
    <w:basedOn w:val="DefaultParagraphFont"/>
    <w:link w:val="Heading2"/>
    <w:uiPriority w:val="9"/>
    <w:rsid w:val="00873857"/>
    <w:rPr>
      <w:rFonts w:ascii="Calibri" w:eastAsiaTheme="majorEastAsia" w:hAnsi="Calibri" w:cstheme="majorBidi"/>
      <w:b/>
      <w:bCs/>
      <w:caps/>
      <w:color w:val="009999"/>
      <w:sz w:val="26"/>
      <w:szCs w:val="28"/>
      <w:lang w:eastAsia="da-DK" w:bidi="en-GB"/>
    </w:rPr>
  </w:style>
  <w:style w:type="character" w:styleId="SubtleEmphasis">
    <w:name w:val="Subtle Emphasis"/>
    <w:basedOn w:val="DefaultParagraphFont"/>
    <w:uiPriority w:val="19"/>
    <w:qFormat/>
    <w:rsid w:val="00CA516F"/>
    <w:rPr>
      <w:i/>
      <w:iCs/>
      <w:color w:val="404040" w:themeColor="text1" w:themeTint="BF"/>
    </w:rPr>
  </w:style>
  <w:style w:type="paragraph" w:customStyle="1" w:styleId="NonHeading1">
    <w:name w:val="Non Heading 1"/>
    <w:basedOn w:val="Heading1"/>
    <w:qFormat/>
    <w:rsid w:val="00CA516F"/>
    <w:pPr>
      <w:numPr>
        <w:numId w:val="0"/>
      </w:numPr>
      <w:jc w:val="left"/>
    </w:pPr>
  </w:style>
  <w:style w:type="paragraph" w:customStyle="1" w:styleId="TanaListeafsnitbullit">
    <w:name w:val="Tana Listeafsnit bullit"/>
    <w:basedOn w:val="ListParagraph"/>
    <w:qFormat/>
    <w:rsid w:val="00CA516F"/>
    <w:pPr>
      <w:spacing w:before="20" w:after="20"/>
      <w:contextualSpacing w:val="0"/>
    </w:pPr>
    <w:rPr>
      <w:szCs w:val="18"/>
      <w:lang w:val="en-ZA"/>
    </w:rPr>
  </w:style>
  <w:style w:type="paragraph" w:styleId="ListParagraph">
    <w:name w:val="List Paragraph"/>
    <w:basedOn w:val="Normal"/>
    <w:uiPriority w:val="34"/>
    <w:qFormat/>
    <w:rsid w:val="00CA516F"/>
    <w:pPr>
      <w:ind w:left="720"/>
      <w:contextualSpacing/>
    </w:pPr>
  </w:style>
  <w:style w:type="character" w:styleId="Hyperlink">
    <w:name w:val="Hyperlink"/>
    <w:basedOn w:val="DefaultParagraphFont"/>
    <w:uiPriority w:val="99"/>
    <w:semiHidden/>
    <w:unhideWhenUsed/>
    <w:rsid w:val="00F42E5F"/>
    <w:rPr>
      <w:color w:val="0000FF"/>
      <w:u w:val="single"/>
    </w:rPr>
  </w:style>
  <w:style w:type="paragraph" w:styleId="Header">
    <w:name w:val="header"/>
    <w:basedOn w:val="Normal"/>
    <w:link w:val="HeaderChar"/>
    <w:uiPriority w:val="99"/>
    <w:unhideWhenUsed/>
    <w:rsid w:val="00204A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4A99"/>
    <w:rPr>
      <w:rFonts w:ascii="Calibri" w:eastAsia="Cambria" w:hAnsi="Calibri" w:cs="Cambria"/>
      <w:color w:val="000000" w:themeColor="text1"/>
      <w:lang w:eastAsia="en-GB" w:bidi="en-GB"/>
    </w:rPr>
  </w:style>
  <w:style w:type="paragraph" w:styleId="Revision">
    <w:name w:val="Revision"/>
    <w:hidden/>
    <w:uiPriority w:val="99"/>
    <w:semiHidden/>
    <w:rsid w:val="00C72ECF"/>
    <w:pPr>
      <w:spacing w:after="0" w:line="240" w:lineRule="auto"/>
    </w:pPr>
    <w:rPr>
      <w:rFonts w:ascii="Calibri" w:eastAsia="Cambria" w:hAnsi="Calibri" w:cs="Cambria"/>
      <w:color w:val="000000" w:themeColor="text1"/>
      <w:lang w:eastAsia="en-GB" w:bidi="en-GB"/>
    </w:rPr>
  </w:style>
  <w:style w:type="character" w:customStyle="1" w:styleId="normaltextrun">
    <w:name w:val="normaltextrun"/>
    <w:basedOn w:val="DefaultParagraphFont"/>
    <w:rsid w:val="005A5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Ugand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Democratic_Republic_of_Cong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wikipedia.org/wiki/South_Sudan" TargetMode="External"/><Relationship Id="rId4" Type="http://schemas.openxmlformats.org/officeDocument/2006/relationships/settings" Target="settings.xml"/><Relationship Id="rId9" Type="http://schemas.openxmlformats.org/officeDocument/2006/relationships/hyperlink" Target="https://en.wikipedia.org/wiki/Refugees_of_Ugand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D4960-27C6-4517-8AE6-05BBC373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Kobaek</dc:creator>
  <cp:keywords/>
  <dc:description/>
  <cp:lastModifiedBy>Anne Kobaek</cp:lastModifiedBy>
  <cp:revision>30</cp:revision>
  <dcterms:created xsi:type="dcterms:W3CDTF">2023-01-06T10:11:00Z</dcterms:created>
  <dcterms:modified xsi:type="dcterms:W3CDTF">2023-02-12T17:06:00Z</dcterms:modified>
</cp:coreProperties>
</file>